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D7C9C" w14:textId="217167F6" w:rsidR="005C2B77" w:rsidRPr="00251E74" w:rsidRDefault="005C2B77" w:rsidP="009D27A0">
      <w:pPr>
        <w:spacing w:after="0" w:line="360" w:lineRule="auto"/>
        <w:rPr>
          <w:rFonts w:ascii="Calibri Light" w:hAnsi="Calibri Light" w:cs="Calibri Light"/>
          <w:bCs/>
          <w:kern w:val="0"/>
          <w:sz w:val="24"/>
          <w:szCs w:val="24"/>
          <w14:ligatures w14:val="none"/>
        </w:rPr>
      </w:pPr>
      <w:r w:rsidRPr="00251E74">
        <w:rPr>
          <w:rFonts w:ascii="Calibri Light" w:hAnsi="Calibri Light" w:cs="Calibri Light"/>
          <w:b/>
          <w:kern w:val="0"/>
          <w:sz w:val="24"/>
          <w:szCs w:val="24"/>
          <w14:ligatures w14:val="none"/>
        </w:rPr>
        <w:t>To</w:t>
      </w:r>
      <w:r w:rsidRPr="00251E74">
        <w:rPr>
          <w:rFonts w:ascii="Calibri Light" w:hAnsi="Calibri Light" w:cs="Calibri Light"/>
          <w:bCs/>
          <w:kern w:val="0"/>
          <w:sz w:val="24"/>
          <w:szCs w:val="24"/>
          <w14:ligatures w14:val="none"/>
        </w:rPr>
        <w:t xml:space="preserve">:  </w:t>
      </w:r>
      <w:r w:rsidRPr="00251E74">
        <w:rPr>
          <w:rFonts w:ascii="Calibri Light" w:hAnsi="Calibri Light" w:cs="Calibri Light"/>
          <w:bCs/>
          <w:kern w:val="0"/>
          <w:sz w:val="24"/>
          <w:szCs w:val="24"/>
          <w14:ligatures w14:val="none"/>
        </w:rPr>
        <w:tab/>
        <w:t xml:space="preserve">David Dalpiaz, </w:t>
      </w:r>
      <w:r w:rsidR="00ED2731" w:rsidRPr="00251E74">
        <w:rPr>
          <w:rFonts w:ascii="Calibri Light" w:hAnsi="Calibri Light" w:cs="Calibri Light"/>
          <w:bCs/>
          <w:kern w:val="0"/>
          <w:sz w:val="24"/>
          <w:szCs w:val="24"/>
          <w14:ligatures w14:val="none"/>
        </w:rPr>
        <w:t>Chair, Senate Committee on University Statutes and Senate Procedures</w:t>
      </w:r>
    </w:p>
    <w:p w14:paraId="1A7239ED" w14:textId="16ADFFBE" w:rsidR="005C2B77" w:rsidRPr="00251E74" w:rsidRDefault="005C2B77" w:rsidP="009D27A0">
      <w:pPr>
        <w:spacing w:after="0" w:line="360" w:lineRule="auto"/>
        <w:rPr>
          <w:rFonts w:ascii="Calibri Light" w:hAnsi="Calibri Light" w:cs="Calibri Light"/>
          <w:bCs/>
          <w:kern w:val="0"/>
          <w:sz w:val="24"/>
          <w:szCs w:val="24"/>
          <w14:ligatures w14:val="none"/>
        </w:rPr>
      </w:pPr>
      <w:r w:rsidRPr="00251E74">
        <w:rPr>
          <w:rFonts w:ascii="Calibri Light" w:hAnsi="Calibri Light" w:cs="Calibri Light"/>
          <w:b/>
          <w:kern w:val="0"/>
          <w:sz w:val="24"/>
          <w:szCs w:val="24"/>
          <w14:ligatures w14:val="none"/>
        </w:rPr>
        <w:t>From</w:t>
      </w:r>
      <w:r w:rsidRPr="00251E74">
        <w:rPr>
          <w:rFonts w:ascii="Calibri Light" w:hAnsi="Calibri Light" w:cs="Calibri Light"/>
          <w:bCs/>
          <w:kern w:val="0"/>
          <w:sz w:val="24"/>
          <w:szCs w:val="24"/>
          <w14:ligatures w14:val="none"/>
        </w:rPr>
        <w:t xml:space="preserve">:  </w:t>
      </w:r>
      <w:r w:rsidRPr="00251E74">
        <w:rPr>
          <w:rFonts w:ascii="Calibri Light" w:hAnsi="Calibri Light" w:cs="Calibri Light"/>
          <w:bCs/>
          <w:kern w:val="0"/>
          <w:sz w:val="24"/>
          <w:szCs w:val="24"/>
          <w14:ligatures w14:val="none"/>
        </w:rPr>
        <w:tab/>
        <w:t>Praveen Kumar, Executive Director, Prairie Research Institute</w:t>
      </w:r>
    </w:p>
    <w:p w14:paraId="2B24F6FD" w14:textId="640816DE" w:rsidR="005C2B77" w:rsidRPr="00251E74" w:rsidRDefault="005C2B77" w:rsidP="009D27A0">
      <w:pPr>
        <w:spacing w:after="0" w:line="360" w:lineRule="auto"/>
        <w:rPr>
          <w:rFonts w:ascii="Calibri Light" w:hAnsi="Calibri Light" w:cs="Calibri Light"/>
          <w:bCs/>
          <w:kern w:val="0"/>
          <w:sz w:val="24"/>
          <w:szCs w:val="24"/>
          <w14:ligatures w14:val="none"/>
        </w:rPr>
      </w:pPr>
      <w:r w:rsidRPr="00251E74">
        <w:rPr>
          <w:rFonts w:ascii="Calibri Light" w:hAnsi="Calibri Light" w:cs="Calibri Light"/>
          <w:b/>
          <w:kern w:val="0"/>
          <w:sz w:val="24"/>
          <w:szCs w:val="24"/>
          <w14:ligatures w14:val="none"/>
        </w:rPr>
        <w:t>Date</w:t>
      </w:r>
      <w:r w:rsidRPr="00251E74">
        <w:rPr>
          <w:rFonts w:ascii="Calibri Light" w:hAnsi="Calibri Light" w:cs="Calibri Light"/>
          <w:bCs/>
          <w:kern w:val="0"/>
          <w:sz w:val="24"/>
          <w:szCs w:val="24"/>
          <w14:ligatures w14:val="none"/>
        </w:rPr>
        <w:t xml:space="preserve">:  </w:t>
      </w:r>
      <w:r w:rsidRPr="00251E74">
        <w:rPr>
          <w:rFonts w:ascii="Calibri Light" w:hAnsi="Calibri Light" w:cs="Calibri Light"/>
          <w:bCs/>
          <w:kern w:val="0"/>
          <w:sz w:val="24"/>
          <w:szCs w:val="24"/>
          <w14:ligatures w14:val="none"/>
        </w:rPr>
        <w:tab/>
        <w:t>October 1</w:t>
      </w:r>
      <w:r w:rsidR="00404D29">
        <w:rPr>
          <w:rFonts w:ascii="Calibri Light" w:hAnsi="Calibri Light" w:cs="Calibri Light"/>
          <w:bCs/>
          <w:kern w:val="0"/>
          <w:sz w:val="24"/>
          <w:szCs w:val="24"/>
          <w14:ligatures w14:val="none"/>
        </w:rPr>
        <w:t>3</w:t>
      </w:r>
      <w:r w:rsidRPr="00251E74">
        <w:rPr>
          <w:rFonts w:ascii="Calibri Light" w:hAnsi="Calibri Light" w:cs="Calibri Light"/>
          <w:bCs/>
          <w:kern w:val="0"/>
          <w:sz w:val="24"/>
          <w:szCs w:val="24"/>
          <w14:ligatures w14:val="none"/>
        </w:rPr>
        <w:t>, 2024</w:t>
      </w:r>
    </w:p>
    <w:p w14:paraId="44242319" w14:textId="09967A6A" w:rsidR="005C2B77" w:rsidRPr="00251E74" w:rsidRDefault="005C2B77" w:rsidP="009D27A0">
      <w:pPr>
        <w:pBdr>
          <w:bottom w:val="single" w:sz="12" w:space="1" w:color="auto"/>
        </w:pBdr>
        <w:spacing w:after="0" w:line="360" w:lineRule="auto"/>
        <w:rPr>
          <w:rFonts w:ascii="Calibri Light" w:hAnsi="Calibri Light" w:cs="Calibri Light"/>
          <w:bCs/>
          <w:kern w:val="0"/>
          <w:sz w:val="24"/>
          <w:szCs w:val="24"/>
          <w14:ligatures w14:val="none"/>
        </w:rPr>
      </w:pPr>
      <w:r w:rsidRPr="00251E74">
        <w:rPr>
          <w:rFonts w:ascii="Calibri Light" w:hAnsi="Calibri Light" w:cs="Calibri Light"/>
          <w:b/>
          <w:kern w:val="0"/>
          <w:sz w:val="24"/>
          <w:szCs w:val="24"/>
          <w14:ligatures w14:val="none"/>
        </w:rPr>
        <w:t>RE</w:t>
      </w:r>
      <w:r w:rsidRPr="00251E74">
        <w:rPr>
          <w:rFonts w:ascii="Calibri Light" w:hAnsi="Calibri Light" w:cs="Calibri Light"/>
          <w:bCs/>
          <w:kern w:val="0"/>
          <w:sz w:val="24"/>
          <w:szCs w:val="24"/>
          <w14:ligatures w14:val="none"/>
        </w:rPr>
        <w:t>:</w:t>
      </w:r>
      <w:r w:rsidR="00BC2CAA" w:rsidRPr="00251E74">
        <w:rPr>
          <w:rFonts w:ascii="Calibri Light" w:hAnsi="Calibri Light" w:cs="Calibri Light"/>
          <w:bCs/>
          <w:kern w:val="0"/>
          <w:sz w:val="24"/>
          <w:szCs w:val="24"/>
          <w14:ligatures w14:val="none"/>
        </w:rPr>
        <w:tab/>
      </w:r>
      <w:r w:rsidRPr="00251E74">
        <w:rPr>
          <w:rFonts w:ascii="Calibri Light" w:hAnsi="Calibri Light" w:cs="Calibri Light"/>
          <w:bCs/>
          <w:kern w:val="0"/>
          <w:sz w:val="24"/>
          <w:szCs w:val="24"/>
          <w14:ligatures w14:val="none"/>
        </w:rPr>
        <w:t>Review of USC-revised University Statutes (ST-83 Academic Freedom)</w:t>
      </w:r>
    </w:p>
    <w:p w14:paraId="39635218" w14:textId="77777777" w:rsidR="005C2B77" w:rsidRPr="00251E74" w:rsidRDefault="005C2B77" w:rsidP="00C9639E">
      <w:pPr>
        <w:pBdr>
          <w:bottom w:val="single" w:sz="12" w:space="1" w:color="auto"/>
        </w:pBdr>
        <w:spacing w:after="0" w:line="276" w:lineRule="auto"/>
        <w:rPr>
          <w:rFonts w:ascii="Calibri Light" w:hAnsi="Calibri Light" w:cs="Calibri Light"/>
          <w:bCs/>
          <w:kern w:val="0"/>
          <w:sz w:val="10"/>
          <w:szCs w:val="10"/>
          <w14:ligatures w14:val="none"/>
        </w:rPr>
      </w:pPr>
      <w:r w:rsidRPr="00251E74">
        <w:rPr>
          <w:rFonts w:ascii="Calibri Light" w:hAnsi="Calibri Light" w:cs="Calibri Light"/>
          <w:bCs/>
          <w:kern w:val="0"/>
          <w14:ligatures w14:val="none"/>
        </w:rPr>
        <w:t xml:space="preserve"> </w:t>
      </w:r>
    </w:p>
    <w:p w14:paraId="1BA5E2AC" w14:textId="77777777" w:rsidR="00926907" w:rsidRPr="00251E74" w:rsidRDefault="00926907" w:rsidP="00C9639E">
      <w:pPr>
        <w:pStyle w:val="NoSpacing"/>
        <w:spacing w:line="276" w:lineRule="auto"/>
        <w:rPr>
          <w:rFonts w:ascii="Calibri Light" w:hAnsi="Calibri Light" w:cs="Calibri Light"/>
          <w:b/>
          <w:bCs/>
        </w:rPr>
      </w:pPr>
    </w:p>
    <w:p w14:paraId="2A8AB006" w14:textId="10BF72DB" w:rsidR="0028345A" w:rsidRPr="00251E74" w:rsidRDefault="0028345A" w:rsidP="00C9639E">
      <w:pPr>
        <w:pStyle w:val="NoSpacing"/>
        <w:spacing w:line="276" w:lineRule="auto"/>
        <w:rPr>
          <w:rFonts w:ascii="Calibri Light" w:hAnsi="Calibri Light" w:cs="Calibri Light"/>
          <w:b/>
          <w:bCs/>
        </w:rPr>
      </w:pPr>
      <w:r w:rsidRPr="00251E74">
        <w:rPr>
          <w:rFonts w:ascii="Calibri Light" w:hAnsi="Calibri Light" w:cs="Calibri Light"/>
          <w:b/>
          <w:bCs/>
        </w:rPr>
        <w:t>Academic Freedom</w:t>
      </w:r>
    </w:p>
    <w:p w14:paraId="22690908" w14:textId="77777777" w:rsidR="00A65B87" w:rsidRPr="00251E74" w:rsidRDefault="00A65B87" w:rsidP="00C9639E">
      <w:pPr>
        <w:pStyle w:val="NoSpacing"/>
        <w:spacing w:line="276" w:lineRule="auto"/>
        <w:rPr>
          <w:rFonts w:ascii="Calibri Light" w:hAnsi="Calibri Light" w:cs="Calibri Light"/>
        </w:rPr>
      </w:pPr>
    </w:p>
    <w:p w14:paraId="784C2CD4" w14:textId="2DAABF96" w:rsidR="00F75B0B" w:rsidRPr="00251E74" w:rsidRDefault="00831ECD" w:rsidP="00C9639E">
      <w:pPr>
        <w:pStyle w:val="NoSpacing"/>
        <w:spacing w:line="276" w:lineRule="auto"/>
        <w:rPr>
          <w:rFonts w:ascii="Calibri Light" w:hAnsi="Calibri Light" w:cs="Calibri Light"/>
        </w:rPr>
      </w:pPr>
      <w:r w:rsidRPr="00251E74">
        <w:rPr>
          <w:rFonts w:ascii="Calibri Light" w:hAnsi="Calibri Light" w:cs="Calibri Light"/>
        </w:rPr>
        <w:t xml:space="preserve">Academic freedom is essential for protecting and promoting intellectual curiosity, critical thinking, and the pursuit of knowledge. </w:t>
      </w:r>
      <w:r w:rsidR="00857ACD" w:rsidRPr="00251E74">
        <w:rPr>
          <w:rFonts w:ascii="Calibri Light" w:hAnsi="Calibri Light" w:cs="Calibri Light"/>
        </w:rPr>
        <w:t xml:space="preserve">PRI agrees with </w:t>
      </w:r>
      <w:r w:rsidR="00703137" w:rsidRPr="00251E74">
        <w:rPr>
          <w:rFonts w:ascii="Calibri Light" w:hAnsi="Calibri Light" w:cs="Calibri Light"/>
        </w:rPr>
        <w:t xml:space="preserve">USC </w:t>
      </w:r>
      <w:r w:rsidR="00857ACD" w:rsidRPr="00251E74">
        <w:rPr>
          <w:rFonts w:ascii="Calibri Light" w:hAnsi="Calibri Light" w:cs="Calibri Light"/>
        </w:rPr>
        <w:t xml:space="preserve">and </w:t>
      </w:r>
      <w:r w:rsidR="00703137" w:rsidRPr="00251E74">
        <w:rPr>
          <w:rFonts w:ascii="Calibri Light" w:hAnsi="Calibri Light" w:cs="Calibri Light"/>
        </w:rPr>
        <w:t xml:space="preserve">AAUP that academic freedom protections should focus on </w:t>
      </w:r>
      <w:bookmarkStart w:id="0" w:name="_Hlk179286139"/>
      <w:r w:rsidR="00B52063" w:rsidRPr="00251E74">
        <w:rPr>
          <w:rFonts w:ascii="Calibri Light" w:hAnsi="Calibri Light" w:cs="Calibri Light"/>
        </w:rPr>
        <w:t xml:space="preserve">protected </w:t>
      </w:r>
      <w:r w:rsidR="00703137" w:rsidRPr="00251E74">
        <w:rPr>
          <w:rFonts w:ascii="Calibri Light" w:hAnsi="Calibri Light" w:cs="Calibri Light"/>
        </w:rPr>
        <w:t xml:space="preserve">professional activities </w:t>
      </w:r>
      <w:bookmarkEnd w:id="0"/>
      <w:r w:rsidR="00703137" w:rsidRPr="00251E74">
        <w:rPr>
          <w:rFonts w:ascii="Calibri Light" w:hAnsi="Calibri Light" w:cs="Calibri Light"/>
        </w:rPr>
        <w:t>rather than on categories of employees</w:t>
      </w:r>
      <w:r w:rsidR="00857ACD" w:rsidRPr="00251E74">
        <w:rPr>
          <w:rStyle w:val="FootnoteReference"/>
          <w:rFonts w:ascii="Calibri Light" w:hAnsi="Calibri Light" w:cs="Calibri Light"/>
        </w:rPr>
        <w:footnoteReference w:id="1"/>
      </w:r>
      <w:r w:rsidR="00C3642B" w:rsidRPr="00251E74">
        <w:rPr>
          <w:rFonts w:ascii="Calibri Light" w:hAnsi="Calibri Light" w:cs="Calibri Light"/>
        </w:rPr>
        <w:t xml:space="preserve"> </w:t>
      </w:r>
      <w:r w:rsidR="00CD7F88" w:rsidRPr="00251E74">
        <w:rPr>
          <w:rFonts w:ascii="Calibri Light" w:hAnsi="Calibri Light" w:cs="Calibri Light"/>
        </w:rPr>
        <w:t xml:space="preserve">and </w:t>
      </w:r>
      <w:r w:rsidRPr="00251E74">
        <w:rPr>
          <w:rFonts w:ascii="Calibri Light" w:hAnsi="Calibri Light" w:cs="Calibri Light"/>
        </w:rPr>
        <w:t>PRI is</w:t>
      </w:r>
      <w:r w:rsidR="00CD7F88" w:rsidRPr="00251E74">
        <w:rPr>
          <w:rFonts w:ascii="Calibri Light" w:hAnsi="Calibri Light" w:cs="Calibri Light"/>
        </w:rPr>
        <w:t xml:space="preserve"> encouraged by </w:t>
      </w:r>
      <w:r w:rsidRPr="00251E74">
        <w:rPr>
          <w:rFonts w:ascii="Calibri Light" w:hAnsi="Calibri Light" w:cs="Calibri Light"/>
        </w:rPr>
        <w:t>the</w:t>
      </w:r>
      <w:r w:rsidR="00CD7F88" w:rsidRPr="00251E74">
        <w:rPr>
          <w:rFonts w:ascii="Calibri Light" w:hAnsi="Calibri Light" w:cs="Calibri Light"/>
        </w:rPr>
        <w:t xml:space="preserve"> </w:t>
      </w:r>
      <w:r w:rsidR="00B52063" w:rsidRPr="00251E74">
        <w:rPr>
          <w:rFonts w:ascii="Calibri Light" w:hAnsi="Calibri Light" w:cs="Calibri Light"/>
        </w:rPr>
        <w:t xml:space="preserve">USC’s </w:t>
      </w:r>
      <w:r w:rsidR="00CD7F88" w:rsidRPr="00251E74">
        <w:rPr>
          <w:rFonts w:ascii="Calibri Light" w:hAnsi="Calibri Light" w:cs="Calibri Light"/>
        </w:rPr>
        <w:t>extension of academi</w:t>
      </w:r>
      <w:r w:rsidR="00866E1A" w:rsidRPr="00251E74">
        <w:rPr>
          <w:rFonts w:ascii="Calibri Light" w:hAnsi="Calibri Light" w:cs="Calibri Light"/>
        </w:rPr>
        <w:t>c freedom protections</w:t>
      </w:r>
      <w:r w:rsidR="002B304F" w:rsidRPr="00251E74">
        <w:rPr>
          <w:rFonts w:ascii="Calibri Light" w:hAnsi="Calibri Light" w:cs="Calibri Light"/>
        </w:rPr>
        <w:t xml:space="preserve"> </w:t>
      </w:r>
      <w:r w:rsidR="00D976B2" w:rsidRPr="00251E74">
        <w:rPr>
          <w:rFonts w:ascii="Calibri Light" w:hAnsi="Calibri Light" w:cs="Calibri Light"/>
        </w:rPr>
        <w:t xml:space="preserve">to </w:t>
      </w:r>
      <w:r w:rsidR="00866E1A" w:rsidRPr="00251E74">
        <w:rPr>
          <w:rFonts w:ascii="Calibri Light" w:hAnsi="Calibri Light" w:cs="Calibri Light"/>
        </w:rPr>
        <w:t>academic professionals</w:t>
      </w:r>
      <w:r w:rsidR="00187499" w:rsidRPr="00251E74">
        <w:rPr>
          <w:rFonts w:ascii="Calibri Light" w:hAnsi="Calibri Light" w:cs="Calibri Light"/>
        </w:rPr>
        <w:t>.</w:t>
      </w:r>
      <w:r w:rsidR="00CF6293" w:rsidRPr="00251E74">
        <w:rPr>
          <w:rStyle w:val="FootnoteReference"/>
          <w:rFonts w:ascii="Calibri Light" w:hAnsi="Calibri Light" w:cs="Calibri Light"/>
        </w:rPr>
        <w:footnoteReference w:id="2"/>
      </w:r>
      <w:r w:rsidR="00C3642B" w:rsidRPr="00251E74">
        <w:rPr>
          <w:rFonts w:ascii="Calibri Light" w:hAnsi="Calibri Light" w:cs="Calibri Light"/>
        </w:rPr>
        <w:t xml:space="preserve"> </w:t>
      </w:r>
      <w:r w:rsidR="002A47D9" w:rsidRPr="00251E74">
        <w:rPr>
          <w:rFonts w:ascii="Calibri Light" w:hAnsi="Calibri Light" w:cs="Calibri Light"/>
        </w:rPr>
        <w:t xml:space="preserve">However, </w:t>
      </w:r>
      <w:r w:rsidR="00877212" w:rsidRPr="00251E74">
        <w:rPr>
          <w:rFonts w:ascii="Calibri Light" w:hAnsi="Calibri Light" w:cs="Calibri Light"/>
        </w:rPr>
        <w:t>we</w:t>
      </w:r>
      <w:r w:rsidR="0012061E" w:rsidRPr="00251E74">
        <w:rPr>
          <w:rFonts w:ascii="Calibri Light" w:hAnsi="Calibri Light" w:cs="Calibri Light"/>
        </w:rPr>
        <w:t xml:space="preserve"> </w:t>
      </w:r>
      <w:r w:rsidR="00B52063" w:rsidRPr="00251E74">
        <w:rPr>
          <w:rFonts w:ascii="Calibri Light" w:hAnsi="Calibri Light" w:cs="Calibri Light"/>
        </w:rPr>
        <w:t>believe</w:t>
      </w:r>
      <w:r w:rsidR="00E42D54" w:rsidRPr="00251E74">
        <w:rPr>
          <w:rFonts w:ascii="Calibri Light" w:hAnsi="Calibri Light" w:cs="Calibri Light"/>
        </w:rPr>
        <w:t xml:space="preserve"> that academic freedom protections should be extended to </w:t>
      </w:r>
      <w:r w:rsidR="00F75B0B" w:rsidRPr="00251E74">
        <w:rPr>
          <w:rFonts w:ascii="Calibri Light" w:hAnsi="Calibri Light" w:cs="Calibri Light"/>
        </w:rPr>
        <w:t>all employees who engage in scientific and scholarly research, publication, and outreach</w:t>
      </w:r>
      <w:r w:rsidR="002A47D9" w:rsidRPr="00251E74">
        <w:rPr>
          <w:rFonts w:ascii="Calibri Light" w:hAnsi="Calibri Light" w:cs="Calibri Light"/>
        </w:rPr>
        <w:t xml:space="preserve">, </w:t>
      </w:r>
      <w:r w:rsidR="00E23047" w:rsidRPr="00251E74">
        <w:rPr>
          <w:rFonts w:ascii="Calibri Light" w:hAnsi="Calibri Light" w:cs="Calibri Light"/>
        </w:rPr>
        <w:t>regardless of their job title or employment category.</w:t>
      </w:r>
    </w:p>
    <w:p w14:paraId="21A26CF5" w14:textId="77777777" w:rsidR="00F75B0B" w:rsidRPr="00251E74" w:rsidRDefault="00F75B0B" w:rsidP="00C9639E">
      <w:pPr>
        <w:pStyle w:val="NoSpacing"/>
        <w:spacing w:line="276" w:lineRule="auto"/>
        <w:rPr>
          <w:rFonts w:ascii="Calibri Light" w:hAnsi="Calibri Light" w:cs="Calibri Light"/>
        </w:rPr>
      </w:pPr>
    </w:p>
    <w:p w14:paraId="4A3BB99D" w14:textId="0A174260" w:rsidR="00867B08" w:rsidRPr="00251E74" w:rsidRDefault="00832948" w:rsidP="00C9639E">
      <w:pPr>
        <w:pStyle w:val="NoSpacing"/>
        <w:spacing w:line="276" w:lineRule="auto"/>
        <w:rPr>
          <w:rFonts w:ascii="Calibri Light" w:hAnsi="Calibri Light" w:cs="Calibri Light"/>
          <w14:ligatures w14:val="none"/>
        </w:rPr>
      </w:pPr>
      <w:r w:rsidRPr="00251E74">
        <w:rPr>
          <w:rFonts w:ascii="Calibri Light" w:hAnsi="Calibri Light" w:cs="Calibri Light"/>
          <w14:ligatures w14:val="none"/>
        </w:rPr>
        <w:t xml:space="preserve">PRI employs many staff who, while not faculty or academic professionals, produce scholarly and scientific research, critical publications, and </w:t>
      </w:r>
      <w:r w:rsidR="00210C15" w:rsidRPr="00251E74">
        <w:rPr>
          <w:rFonts w:ascii="Calibri Light" w:hAnsi="Calibri Light" w:cs="Calibri Light"/>
          <w14:ligatures w14:val="none"/>
        </w:rPr>
        <w:t xml:space="preserve">engage in </w:t>
      </w:r>
      <w:r w:rsidRPr="00251E74">
        <w:rPr>
          <w:rFonts w:ascii="Calibri Light" w:hAnsi="Calibri Light" w:cs="Calibri Light"/>
          <w14:ligatures w14:val="none"/>
        </w:rPr>
        <w:t>impactful outreach</w:t>
      </w:r>
      <w:r w:rsidR="00A521CE" w:rsidRPr="00251E74">
        <w:rPr>
          <w:rFonts w:ascii="Calibri Light" w:hAnsi="Calibri Light" w:cs="Calibri Light"/>
          <w14:ligatures w14:val="none"/>
        </w:rPr>
        <w:t xml:space="preserve">, all of which warrants </w:t>
      </w:r>
      <w:r w:rsidRPr="00251E74">
        <w:rPr>
          <w:rFonts w:ascii="Calibri Light" w:hAnsi="Calibri Light" w:cs="Calibri Light"/>
          <w14:ligatures w14:val="none"/>
        </w:rPr>
        <w:t>academic freedom protections. This includes research on controversial environmental and energy issues, such as the impacts of carbon capture and coal ash contamination on water resources and the preservation of Illinois' wetlands. To ensure that PRI staff can conduct this research freely, strong academic freedom protections are essential.</w:t>
      </w:r>
    </w:p>
    <w:p w14:paraId="50E9AC9D" w14:textId="77777777" w:rsidR="00832948" w:rsidRPr="00251E74" w:rsidRDefault="00832948" w:rsidP="00C9639E">
      <w:pPr>
        <w:pStyle w:val="NoSpacing"/>
        <w:spacing w:line="276" w:lineRule="auto"/>
        <w:rPr>
          <w:rFonts w:ascii="Calibri Light" w:hAnsi="Calibri Light" w:cs="Calibri Light"/>
          <w14:ligatures w14:val="none"/>
        </w:rPr>
      </w:pPr>
    </w:p>
    <w:p w14:paraId="68C4E138" w14:textId="61C31462" w:rsidR="00867B08" w:rsidRPr="00251E74" w:rsidRDefault="008E08DF" w:rsidP="00C9639E">
      <w:pPr>
        <w:pStyle w:val="NoSpacing"/>
        <w:spacing w:line="276" w:lineRule="auto"/>
        <w:rPr>
          <w:rFonts w:ascii="Calibri Light" w:hAnsi="Calibri Light" w:cs="Calibri Light"/>
          <w14:ligatures w14:val="none"/>
        </w:rPr>
      </w:pPr>
      <w:r w:rsidRPr="00251E74">
        <w:rPr>
          <w:rFonts w:ascii="Calibri Light" w:hAnsi="Calibri Light" w:cs="Calibri Light"/>
          <w14:ligatures w14:val="none"/>
        </w:rPr>
        <w:t>PRI's administrative, civil service, and leadership staff also play a vital role in supporting the Institute's scientific and scholarly activities. Their work</w:t>
      </w:r>
      <w:r w:rsidR="00A521CE" w:rsidRPr="00251E74">
        <w:rPr>
          <w:rFonts w:ascii="Calibri Light" w:hAnsi="Calibri Light" w:cs="Calibri Light"/>
          <w14:ligatures w14:val="none"/>
        </w:rPr>
        <w:t xml:space="preserve"> involving </w:t>
      </w:r>
      <w:r w:rsidRPr="00251E74">
        <w:rPr>
          <w:rFonts w:ascii="Calibri Light" w:hAnsi="Calibri Light" w:cs="Calibri Light"/>
          <w14:ligatures w14:val="none"/>
        </w:rPr>
        <w:t>communications, government relations, and policy analysis, is essential for ensuring that PRI's research and outreach are effective. These staff members should also be afforded academic freedom protections to support their contributions to the Institute's mission.</w:t>
      </w:r>
    </w:p>
    <w:p w14:paraId="66081AD8" w14:textId="77777777" w:rsidR="00877212" w:rsidRPr="00251E74" w:rsidRDefault="00877212" w:rsidP="00C9639E">
      <w:pPr>
        <w:pStyle w:val="NoSpacing"/>
        <w:spacing w:line="276" w:lineRule="auto"/>
        <w:rPr>
          <w:rFonts w:ascii="Calibri Light" w:hAnsi="Calibri Light" w:cs="Calibri Light"/>
        </w:rPr>
      </w:pPr>
    </w:p>
    <w:p w14:paraId="26D5F5E5" w14:textId="338E6ED6" w:rsidR="00AD09C4" w:rsidRPr="00251E74" w:rsidRDefault="00AF6102" w:rsidP="00C9639E">
      <w:pPr>
        <w:pStyle w:val="NoSpacing"/>
        <w:spacing w:line="276" w:lineRule="auto"/>
        <w:rPr>
          <w:rFonts w:ascii="Calibri Light" w:hAnsi="Calibri Light" w:cs="Calibri Light"/>
        </w:rPr>
      </w:pPr>
      <w:r w:rsidRPr="00251E74">
        <w:rPr>
          <w:rFonts w:ascii="Calibri Light" w:hAnsi="Calibri Light" w:cs="Calibri Light"/>
        </w:rPr>
        <w:t xml:space="preserve">Extending academic freedom protections to PRI employees who engage in scientific and scholarly research, publication, and outreach </w:t>
      </w:r>
      <w:r w:rsidR="00AD09C4" w:rsidRPr="00251E74">
        <w:rPr>
          <w:rFonts w:ascii="Calibri Light" w:hAnsi="Calibri Light" w:cs="Calibri Light"/>
        </w:rPr>
        <w:t xml:space="preserve">fosters a more open and intellectually vibrant research environment and encourages PRI staff to </w:t>
      </w:r>
      <w:r w:rsidR="003B0BB5" w:rsidRPr="00251E74">
        <w:rPr>
          <w:rFonts w:ascii="Calibri Light" w:hAnsi="Calibri Light" w:cs="Calibri Light"/>
        </w:rPr>
        <w:t xml:space="preserve">pursue innovative ideas, share their findings openly, and contribute to critical discourse </w:t>
      </w:r>
      <w:r w:rsidR="00AD09C4" w:rsidRPr="00251E74">
        <w:rPr>
          <w:rFonts w:ascii="Calibri Light" w:hAnsi="Calibri Light" w:cs="Calibri Light"/>
        </w:rPr>
        <w:t>without fear of censorship.</w:t>
      </w:r>
    </w:p>
    <w:p w14:paraId="1D2C25B2" w14:textId="77777777" w:rsidR="004148AC" w:rsidRPr="00251E74" w:rsidRDefault="004148AC" w:rsidP="00C9639E">
      <w:pPr>
        <w:pStyle w:val="NoSpacing"/>
        <w:spacing w:line="276" w:lineRule="auto"/>
        <w:rPr>
          <w:rFonts w:ascii="Calibri Light" w:hAnsi="Calibri Light" w:cs="Calibri Light"/>
        </w:rPr>
      </w:pPr>
    </w:p>
    <w:p w14:paraId="781DFD9E" w14:textId="77777777" w:rsidR="00D017A8" w:rsidRPr="00251E74" w:rsidRDefault="00D017A8">
      <w:pPr>
        <w:rPr>
          <w:rFonts w:ascii="Calibri Light" w:hAnsi="Calibri Light" w:cs="Calibri Light"/>
        </w:rPr>
      </w:pPr>
      <w:r w:rsidRPr="00251E74">
        <w:rPr>
          <w:rFonts w:ascii="Calibri Light" w:hAnsi="Calibri Light" w:cs="Calibri Light"/>
        </w:rPr>
        <w:br w:type="page"/>
      </w:r>
    </w:p>
    <w:p w14:paraId="085ABF41" w14:textId="14F628F9" w:rsidR="007B4CB6" w:rsidRPr="00251E74" w:rsidRDefault="00016FD0" w:rsidP="00C9639E">
      <w:pPr>
        <w:pStyle w:val="NoSpacing"/>
        <w:spacing w:line="276" w:lineRule="auto"/>
        <w:rPr>
          <w:rFonts w:ascii="Calibri Light" w:hAnsi="Calibri Light" w:cs="Calibri Light"/>
          <w:b/>
          <w:bCs/>
        </w:rPr>
      </w:pPr>
      <w:r w:rsidRPr="00251E74">
        <w:rPr>
          <w:rFonts w:ascii="Calibri Light" w:hAnsi="Calibri Light" w:cs="Calibri Light"/>
          <w:b/>
          <w:bCs/>
        </w:rPr>
        <w:lastRenderedPageBreak/>
        <w:t xml:space="preserve">Academic Freedom </w:t>
      </w:r>
      <w:r w:rsidR="00546FE4" w:rsidRPr="00251E74">
        <w:rPr>
          <w:rFonts w:ascii="Calibri Light" w:hAnsi="Calibri Light" w:cs="Calibri Light"/>
          <w:b/>
          <w:bCs/>
        </w:rPr>
        <w:t>Recommendations:</w:t>
      </w:r>
    </w:p>
    <w:p w14:paraId="5080BDC3" w14:textId="77777777" w:rsidR="0028345A" w:rsidRPr="00251E74" w:rsidRDefault="0028345A" w:rsidP="00C9639E">
      <w:pPr>
        <w:pStyle w:val="NoSpacing"/>
        <w:spacing w:line="276" w:lineRule="auto"/>
        <w:rPr>
          <w:rFonts w:ascii="Calibri Light" w:hAnsi="Calibri Light" w:cs="Calibri Light"/>
        </w:rPr>
      </w:pPr>
    </w:p>
    <w:p w14:paraId="05059331" w14:textId="0E8E8A6A" w:rsidR="00723FBE" w:rsidRPr="00251E74" w:rsidRDefault="006168E9" w:rsidP="00657D71">
      <w:pPr>
        <w:pStyle w:val="ListParagraph"/>
        <w:numPr>
          <w:ilvl w:val="0"/>
          <w:numId w:val="18"/>
        </w:numPr>
        <w:spacing w:line="276" w:lineRule="auto"/>
        <w:rPr>
          <w:rFonts w:ascii="Calibri Light" w:hAnsi="Calibri Light" w:cs="Calibri Light"/>
          <w:kern w:val="0"/>
          <w14:ligatures w14:val="none"/>
        </w:rPr>
      </w:pPr>
      <w:r w:rsidRPr="00251E74">
        <w:rPr>
          <w:rFonts w:ascii="Calibri Light" w:hAnsi="Calibri Light" w:cs="Calibri Light"/>
          <w:kern w:val="0"/>
          <w14:ligatures w14:val="none"/>
        </w:rPr>
        <w:t xml:space="preserve">Academic freedom protections </w:t>
      </w:r>
      <w:r w:rsidR="00546FE4" w:rsidRPr="00251E74">
        <w:rPr>
          <w:rFonts w:ascii="Calibri Light" w:hAnsi="Calibri Light" w:cs="Calibri Light"/>
          <w:kern w:val="0"/>
          <w14:ligatures w14:val="none"/>
        </w:rPr>
        <w:t xml:space="preserve">should </w:t>
      </w:r>
      <w:r w:rsidRPr="00251E74">
        <w:rPr>
          <w:rFonts w:ascii="Calibri Light" w:hAnsi="Calibri Light" w:cs="Calibri Light"/>
          <w:kern w:val="0"/>
          <w14:ligatures w14:val="none"/>
        </w:rPr>
        <w:t xml:space="preserve">be extended to </w:t>
      </w:r>
      <w:r w:rsidR="00343C68" w:rsidRPr="00251E74">
        <w:rPr>
          <w:rFonts w:ascii="Calibri Light" w:hAnsi="Calibri Light" w:cs="Calibri Light"/>
          <w:kern w:val="0"/>
          <w14:ligatures w14:val="none"/>
        </w:rPr>
        <w:t xml:space="preserve">all System employees who </w:t>
      </w:r>
      <w:r w:rsidR="003112C7" w:rsidRPr="00251E74">
        <w:rPr>
          <w:rFonts w:ascii="Calibri Light" w:hAnsi="Calibri Light" w:cs="Calibri Light"/>
          <w:kern w:val="0"/>
          <w14:ligatures w14:val="none"/>
        </w:rPr>
        <w:t xml:space="preserve">engage in </w:t>
      </w:r>
      <w:r w:rsidR="00DB5831" w:rsidRPr="00251E74">
        <w:rPr>
          <w:rFonts w:ascii="Calibri Light" w:hAnsi="Calibri Light" w:cs="Calibri Light"/>
          <w:kern w:val="0"/>
          <w14:ligatures w14:val="none"/>
        </w:rPr>
        <w:t>professional activities that are protected by academic freedom</w:t>
      </w:r>
      <w:r w:rsidR="00267F4B" w:rsidRPr="00251E74">
        <w:rPr>
          <w:rFonts w:ascii="Calibri Light" w:hAnsi="Calibri Light" w:cs="Calibri Light"/>
          <w:kern w:val="0"/>
          <w14:ligatures w14:val="none"/>
        </w:rPr>
        <w:t>.</w:t>
      </w:r>
      <w:r w:rsidR="00267F4B" w:rsidRPr="00251E74">
        <w:rPr>
          <w:rStyle w:val="FootnoteReference"/>
          <w:rFonts w:ascii="Calibri Light" w:hAnsi="Calibri Light" w:cs="Calibri Light"/>
          <w:kern w:val="0"/>
          <w14:ligatures w14:val="none"/>
        </w:rPr>
        <w:footnoteReference w:id="3"/>
      </w:r>
      <w:r w:rsidR="00343C68" w:rsidRPr="00251E74">
        <w:rPr>
          <w:rFonts w:ascii="Calibri Light" w:hAnsi="Calibri Light" w:cs="Calibri Light"/>
          <w:kern w:val="0"/>
          <w14:ligatures w14:val="none"/>
        </w:rPr>
        <w:t xml:space="preserve"> </w:t>
      </w:r>
    </w:p>
    <w:p w14:paraId="489B58AE" w14:textId="77777777" w:rsidR="00657D71" w:rsidRPr="00251E74" w:rsidRDefault="00657D71" w:rsidP="00657D71">
      <w:pPr>
        <w:pStyle w:val="ListParagraph"/>
        <w:spacing w:line="276" w:lineRule="auto"/>
        <w:rPr>
          <w:rFonts w:ascii="Calibri Light" w:hAnsi="Calibri Light" w:cs="Calibri Light"/>
          <w:kern w:val="0"/>
          <w14:ligatures w14:val="none"/>
        </w:rPr>
      </w:pPr>
    </w:p>
    <w:p w14:paraId="79CB4996" w14:textId="61B71B33" w:rsidR="00A8308A" w:rsidRPr="00251E74" w:rsidRDefault="008453E2" w:rsidP="00657D71">
      <w:pPr>
        <w:pStyle w:val="ListParagraph"/>
        <w:numPr>
          <w:ilvl w:val="0"/>
          <w:numId w:val="18"/>
        </w:numPr>
        <w:spacing w:line="276" w:lineRule="auto"/>
        <w:rPr>
          <w:rFonts w:ascii="Calibri Light" w:hAnsi="Calibri Light" w:cs="Calibri Light"/>
          <w:kern w:val="0"/>
          <w14:ligatures w14:val="none"/>
        </w:rPr>
      </w:pPr>
      <w:r w:rsidRPr="00251E74">
        <w:rPr>
          <w:rFonts w:ascii="Calibri Light" w:hAnsi="Calibri Light" w:cs="Calibri Light"/>
          <w:kern w:val="0"/>
          <w14:ligatures w14:val="none"/>
        </w:rPr>
        <w:t xml:space="preserve">USC </w:t>
      </w:r>
      <w:r w:rsidR="00546FE4" w:rsidRPr="00251E74">
        <w:rPr>
          <w:rFonts w:ascii="Calibri Light" w:hAnsi="Calibri Light" w:cs="Calibri Light"/>
          <w:kern w:val="0"/>
          <w14:ligatures w14:val="none"/>
        </w:rPr>
        <w:t xml:space="preserve">should </w:t>
      </w:r>
      <w:r w:rsidR="00D017A8" w:rsidRPr="00251E74">
        <w:rPr>
          <w:rFonts w:ascii="Calibri Light" w:hAnsi="Calibri Light" w:cs="Calibri Light"/>
          <w:kern w:val="0"/>
          <w14:ligatures w14:val="none"/>
        </w:rPr>
        <w:t xml:space="preserve">consider using </w:t>
      </w:r>
      <w:r w:rsidRPr="00251E74">
        <w:rPr>
          <w:rFonts w:ascii="Calibri Light" w:hAnsi="Calibri Light" w:cs="Calibri Light"/>
          <w:kern w:val="0"/>
          <w14:ligatures w14:val="none"/>
        </w:rPr>
        <w:t xml:space="preserve">the </w:t>
      </w:r>
      <w:r w:rsidR="00B618DA" w:rsidRPr="00251E74">
        <w:rPr>
          <w:rFonts w:ascii="Calibri Light" w:hAnsi="Calibri Light" w:cs="Calibri Light"/>
          <w:kern w:val="0"/>
          <w14:ligatures w14:val="none"/>
        </w:rPr>
        <w:t xml:space="preserve">definition of </w:t>
      </w:r>
      <w:r w:rsidR="00CC0881" w:rsidRPr="00251E74">
        <w:rPr>
          <w:rFonts w:ascii="Calibri Light" w:hAnsi="Calibri Light" w:cs="Calibri Light"/>
          <w:kern w:val="0"/>
          <w14:ligatures w14:val="none"/>
        </w:rPr>
        <w:t>“primary academic work of the System</w:t>
      </w:r>
      <w:r w:rsidR="00291805" w:rsidRPr="00251E74">
        <w:rPr>
          <w:rFonts w:ascii="Calibri Light" w:hAnsi="Calibri Light" w:cs="Calibri Light"/>
          <w:kern w:val="0"/>
          <w14:ligatures w14:val="none"/>
        </w:rPr>
        <w:t>,</w:t>
      </w:r>
      <w:r w:rsidR="00CC0881" w:rsidRPr="00251E74">
        <w:rPr>
          <w:rFonts w:ascii="Calibri Light" w:hAnsi="Calibri Light" w:cs="Calibri Light"/>
          <w:kern w:val="0"/>
          <w14:ligatures w14:val="none"/>
        </w:rPr>
        <w:t xml:space="preserve">” </w:t>
      </w:r>
      <w:r w:rsidR="00B618DA" w:rsidRPr="00251E74">
        <w:rPr>
          <w:rFonts w:ascii="Calibri Light" w:hAnsi="Calibri Light" w:cs="Calibri Light"/>
          <w:kern w:val="0"/>
          <w14:ligatures w14:val="none"/>
        </w:rPr>
        <w:t>defined in the Preamble to the Statutes</w:t>
      </w:r>
      <w:r w:rsidR="00291805" w:rsidRPr="00251E74">
        <w:rPr>
          <w:rFonts w:ascii="Calibri Light" w:hAnsi="Calibri Light" w:cs="Calibri Light"/>
          <w:kern w:val="0"/>
          <w14:ligatures w14:val="none"/>
        </w:rPr>
        <w:t>,</w:t>
      </w:r>
      <w:r w:rsidR="00B618DA" w:rsidRPr="00251E74">
        <w:rPr>
          <w:rFonts w:ascii="Calibri Light" w:hAnsi="Calibri Light" w:cs="Calibri Light"/>
          <w:kern w:val="0"/>
          <w14:ligatures w14:val="none"/>
        </w:rPr>
        <w:t xml:space="preserve"> to delineate which professional activities warrant academic freedom protection. The Preamble defines the “primary academic work of the System” as “</w:t>
      </w:r>
      <w:r w:rsidR="00CC0881" w:rsidRPr="00251E74">
        <w:rPr>
          <w:rFonts w:ascii="Calibri Light" w:hAnsi="Calibri Light" w:cs="Calibri Light"/>
          <w:kern w:val="0"/>
          <w14:ligatures w14:val="none"/>
        </w:rPr>
        <w:t>research, scholarship and creative activities; teaching, mentoring and degree granting; public and professional service and engagement; and economic development</w:t>
      </w:r>
      <w:r w:rsidR="00231809" w:rsidRPr="00251E74">
        <w:rPr>
          <w:rFonts w:ascii="Calibri Light" w:hAnsi="Calibri Light" w:cs="Calibri Light"/>
          <w:kern w:val="0"/>
          <w14:ligatures w14:val="none"/>
        </w:rPr>
        <w:t>”</w:t>
      </w:r>
      <w:r w:rsidR="00CC0881" w:rsidRPr="00251E74">
        <w:rPr>
          <w:rStyle w:val="FootnoteReference"/>
          <w:rFonts w:ascii="Calibri Light" w:hAnsi="Calibri Light" w:cs="Calibri Light"/>
          <w:kern w:val="0"/>
          <w14:ligatures w14:val="none"/>
        </w:rPr>
        <w:footnoteReference w:id="4"/>
      </w:r>
      <w:r w:rsidR="00CC0881" w:rsidRPr="00251E74">
        <w:rPr>
          <w:rFonts w:ascii="Calibri Light" w:hAnsi="Calibri Light" w:cs="Calibri Light"/>
          <w:kern w:val="0"/>
          <w14:ligatures w14:val="none"/>
        </w:rPr>
        <w:t xml:space="preserve"> </w:t>
      </w:r>
      <w:r w:rsidR="00546FE4" w:rsidRPr="00251E74">
        <w:rPr>
          <w:rFonts w:ascii="Calibri Light" w:hAnsi="Calibri Light" w:cs="Calibri Light"/>
          <w:kern w:val="0"/>
          <w14:ligatures w14:val="none"/>
        </w:rPr>
        <w:t>(all of which w</w:t>
      </w:r>
      <w:r w:rsidR="00231809" w:rsidRPr="00251E74">
        <w:rPr>
          <w:rFonts w:ascii="Calibri Light" w:hAnsi="Calibri Light" w:cs="Calibri Light"/>
          <w:kern w:val="0"/>
          <w14:ligatures w14:val="none"/>
        </w:rPr>
        <w:t>arrant academic freedom protections</w:t>
      </w:r>
      <w:r w:rsidR="00546FE4" w:rsidRPr="00251E74">
        <w:rPr>
          <w:rFonts w:ascii="Calibri Light" w:hAnsi="Calibri Light" w:cs="Calibri Light"/>
          <w:kern w:val="0"/>
          <w14:ligatures w14:val="none"/>
        </w:rPr>
        <w:t>)</w:t>
      </w:r>
      <w:r w:rsidR="00231809" w:rsidRPr="00251E74">
        <w:rPr>
          <w:rFonts w:ascii="Calibri Light" w:hAnsi="Calibri Light" w:cs="Calibri Light"/>
          <w:kern w:val="0"/>
          <w14:ligatures w14:val="none"/>
        </w:rPr>
        <w:t>.</w:t>
      </w:r>
    </w:p>
    <w:p w14:paraId="1A8D272C" w14:textId="77777777" w:rsidR="00657D71" w:rsidRPr="00251E74" w:rsidRDefault="00657D71" w:rsidP="00657D71">
      <w:pPr>
        <w:pStyle w:val="ListParagraph"/>
        <w:spacing w:line="276" w:lineRule="auto"/>
        <w:rPr>
          <w:rFonts w:ascii="Calibri Light" w:hAnsi="Calibri Light" w:cs="Calibri Light"/>
        </w:rPr>
      </w:pPr>
    </w:p>
    <w:p w14:paraId="3ABCBC97" w14:textId="0AA5ED4C" w:rsidR="00657D71" w:rsidRPr="00251E74" w:rsidRDefault="008453E2" w:rsidP="00657D71">
      <w:pPr>
        <w:pStyle w:val="ListParagraph"/>
        <w:numPr>
          <w:ilvl w:val="0"/>
          <w:numId w:val="18"/>
        </w:numPr>
        <w:spacing w:line="276" w:lineRule="auto"/>
        <w:rPr>
          <w:rFonts w:ascii="Calibri Light" w:hAnsi="Calibri Light" w:cs="Calibri Light"/>
        </w:rPr>
      </w:pPr>
      <w:r w:rsidRPr="00251E74">
        <w:rPr>
          <w:rFonts w:ascii="Calibri Light" w:hAnsi="Calibri Light" w:cs="Calibri Light"/>
        </w:rPr>
        <w:t xml:space="preserve">USC </w:t>
      </w:r>
      <w:r w:rsidR="00546FE4" w:rsidRPr="00251E74">
        <w:rPr>
          <w:rFonts w:ascii="Calibri Light" w:hAnsi="Calibri Light" w:cs="Calibri Light"/>
        </w:rPr>
        <w:t xml:space="preserve">should </w:t>
      </w:r>
      <w:r w:rsidR="00016FD0" w:rsidRPr="00251E74">
        <w:rPr>
          <w:rFonts w:ascii="Calibri Light" w:hAnsi="Calibri Light" w:cs="Calibri Light"/>
        </w:rPr>
        <w:t xml:space="preserve">consider revising </w:t>
      </w:r>
      <w:r w:rsidRPr="00251E74">
        <w:rPr>
          <w:rFonts w:ascii="Calibri Light" w:hAnsi="Calibri Light" w:cs="Calibri Light"/>
        </w:rPr>
        <w:t>the following Sections</w:t>
      </w:r>
      <w:r w:rsidR="005F52CF" w:rsidRPr="00251E74">
        <w:rPr>
          <w:rFonts w:ascii="Calibri Light" w:hAnsi="Calibri Light" w:cs="Calibri Light"/>
        </w:rPr>
        <w:t xml:space="preserve"> related to academic freedom protections</w:t>
      </w:r>
      <w:r w:rsidRPr="00251E74">
        <w:rPr>
          <w:rFonts w:ascii="Calibri Light" w:hAnsi="Calibri Light" w:cs="Calibri Light"/>
        </w:rPr>
        <w:t>:</w:t>
      </w:r>
    </w:p>
    <w:p w14:paraId="28CCBB05" w14:textId="77777777" w:rsidR="00657D71" w:rsidRPr="00251E74" w:rsidRDefault="00657D71" w:rsidP="00657D71">
      <w:pPr>
        <w:pStyle w:val="ListParagraph"/>
        <w:rPr>
          <w:rFonts w:ascii="Calibri Light" w:hAnsi="Calibri Light" w:cs="Calibri Light"/>
        </w:rPr>
      </w:pPr>
    </w:p>
    <w:p w14:paraId="6F5C6A25" w14:textId="77777777" w:rsidR="00657D71" w:rsidRPr="00251E74" w:rsidRDefault="00401F5C" w:rsidP="00D66536">
      <w:pPr>
        <w:pStyle w:val="ListParagraph"/>
        <w:numPr>
          <w:ilvl w:val="1"/>
          <w:numId w:val="18"/>
        </w:numPr>
        <w:spacing w:line="276" w:lineRule="auto"/>
        <w:rPr>
          <w:rFonts w:ascii="Calibri Light" w:hAnsi="Calibri Light" w:cs="Calibri Light"/>
        </w:rPr>
      </w:pPr>
      <w:r w:rsidRPr="00251E74">
        <w:rPr>
          <w:rFonts w:ascii="Calibri Light" w:hAnsi="Calibri Light" w:cs="Calibri Light"/>
          <w:b/>
          <w:bCs/>
        </w:rPr>
        <w:t xml:space="preserve">(Article </w:t>
      </w:r>
      <w:r w:rsidR="00262105" w:rsidRPr="00251E74">
        <w:rPr>
          <w:rFonts w:ascii="Calibri Light" w:hAnsi="Calibri Light" w:cs="Calibri Light"/>
          <w:b/>
          <w:bCs/>
        </w:rPr>
        <w:t>X</w:t>
      </w:r>
      <w:r w:rsidRPr="00251E74">
        <w:rPr>
          <w:rFonts w:ascii="Calibri Light" w:hAnsi="Calibri Light" w:cs="Calibri Light"/>
          <w:b/>
          <w:bCs/>
        </w:rPr>
        <w:t xml:space="preserve"> Section </w:t>
      </w:r>
      <w:r w:rsidR="00262105" w:rsidRPr="00251E74">
        <w:rPr>
          <w:rFonts w:ascii="Calibri Light" w:hAnsi="Calibri Light" w:cs="Calibri Light"/>
          <w:b/>
          <w:bCs/>
        </w:rPr>
        <w:t>6)</w:t>
      </w:r>
      <w:r w:rsidRPr="00251E74">
        <w:rPr>
          <w:rFonts w:ascii="Calibri Light" w:hAnsi="Calibri Light" w:cs="Calibri Light"/>
          <w:b/>
          <w:bCs/>
        </w:rPr>
        <w:t xml:space="preserve"> </w:t>
      </w:r>
      <w:r w:rsidR="00626223" w:rsidRPr="00251E74">
        <w:rPr>
          <w:rFonts w:ascii="Calibri Light" w:hAnsi="Calibri Light" w:cs="Calibri Light"/>
          <w:b/>
          <w:bCs/>
        </w:rPr>
        <w:t>USC Revised Statutes line</w:t>
      </w:r>
      <w:r w:rsidR="00262105" w:rsidRPr="00251E74">
        <w:rPr>
          <w:rFonts w:ascii="Calibri Light" w:hAnsi="Calibri Light" w:cs="Calibri Light"/>
          <w:b/>
          <w:bCs/>
        </w:rPr>
        <w:t>s 2208 through 2213</w:t>
      </w:r>
      <w:r w:rsidR="00262105" w:rsidRPr="00251E74">
        <w:rPr>
          <w:rFonts w:ascii="Calibri Light" w:hAnsi="Calibri Light" w:cs="Calibri Light"/>
        </w:rPr>
        <w:t xml:space="preserve"> </w:t>
      </w:r>
      <w:r w:rsidR="00B74E68" w:rsidRPr="00251E74">
        <w:rPr>
          <w:rFonts w:ascii="Calibri Light" w:hAnsi="Calibri Light" w:cs="Calibri Light"/>
        </w:rPr>
        <w:t xml:space="preserve">should be revised to read: </w:t>
      </w:r>
      <w:r w:rsidR="00723FBE" w:rsidRPr="00251E74">
        <w:rPr>
          <w:rFonts w:ascii="Calibri Light" w:hAnsi="Calibri Light" w:cs="Calibri Light"/>
        </w:rPr>
        <w:t>“</w:t>
      </w:r>
      <w:r w:rsidR="00B74E68" w:rsidRPr="00251E74">
        <w:rPr>
          <w:rFonts w:ascii="Calibri Light" w:hAnsi="Calibri Light" w:cs="Calibri Light"/>
        </w:rPr>
        <w:t xml:space="preserve">It is the policy of the University of Illinois System to maintain and encourage full freedom within the law of inquiry, discourse, teaching, research, and publication and to protect </w:t>
      </w:r>
      <w:r w:rsidR="00506252" w:rsidRPr="00251E74">
        <w:rPr>
          <w:rFonts w:ascii="Calibri Light" w:hAnsi="Calibri Light" w:cs="Calibri Light"/>
          <w:u w:val="single"/>
        </w:rPr>
        <w:t xml:space="preserve">System employees </w:t>
      </w:r>
      <w:r w:rsidR="007B5F72" w:rsidRPr="00251E74">
        <w:rPr>
          <w:rFonts w:ascii="Calibri Light" w:hAnsi="Calibri Light" w:cs="Calibri Light"/>
          <w:u w:val="single"/>
        </w:rPr>
        <w:t>engaged in the primary academic work of the System which includes research, scholarship and creative activities; teaching, mentoring and degree granting; public and professional service and engagement; and economic development</w:t>
      </w:r>
      <w:r w:rsidR="007B5F72" w:rsidRPr="00251E74">
        <w:rPr>
          <w:rFonts w:ascii="Calibri Light" w:hAnsi="Calibri Light" w:cs="Calibri Light"/>
        </w:rPr>
        <w:t xml:space="preserve"> </w:t>
      </w:r>
      <w:r w:rsidR="00BA170C" w:rsidRPr="00251E74">
        <w:rPr>
          <w:rFonts w:ascii="Calibri Light" w:hAnsi="Calibri Light" w:cs="Calibri Light"/>
          <w:strike/>
        </w:rPr>
        <w:t>all faculty and those academic professionals engaged in such activities as part of their university employment</w:t>
      </w:r>
      <w:r w:rsidR="00BA170C" w:rsidRPr="00251E74">
        <w:rPr>
          <w:rFonts w:ascii="Calibri Light" w:hAnsi="Calibri Light" w:cs="Calibri Light"/>
        </w:rPr>
        <w:t xml:space="preserve"> against influences, from within or without the University of Illinois System, </w:t>
      </w:r>
      <w:r w:rsidR="00E06BB6" w:rsidRPr="00251E74">
        <w:rPr>
          <w:rFonts w:ascii="Calibri Light" w:hAnsi="Calibri Light" w:cs="Calibri Light"/>
        </w:rPr>
        <w:t>that would restrict</w:t>
      </w:r>
      <w:r w:rsidR="000A0E22" w:rsidRPr="00251E74">
        <w:rPr>
          <w:rFonts w:ascii="Calibri Light" w:hAnsi="Calibri Light" w:cs="Calibri Light"/>
        </w:rPr>
        <w:t xml:space="preserve"> </w:t>
      </w:r>
      <w:r w:rsidR="000A6CD4" w:rsidRPr="00251E74">
        <w:rPr>
          <w:rFonts w:ascii="Calibri Light" w:hAnsi="Calibri Light" w:cs="Calibri Light"/>
          <w:u w:val="single"/>
        </w:rPr>
        <w:t>their</w:t>
      </w:r>
      <w:r w:rsidR="00E06BB6" w:rsidRPr="00251E74">
        <w:rPr>
          <w:rFonts w:ascii="Calibri Light" w:hAnsi="Calibri Light" w:cs="Calibri Light"/>
        </w:rPr>
        <w:t xml:space="preserve"> </w:t>
      </w:r>
      <w:r w:rsidR="00E06BB6" w:rsidRPr="00251E74">
        <w:rPr>
          <w:rFonts w:ascii="Calibri Light" w:hAnsi="Calibri Light" w:cs="Calibri Light"/>
          <w:strike/>
        </w:rPr>
        <w:t>the individual’s</w:t>
      </w:r>
      <w:r w:rsidR="00E06BB6" w:rsidRPr="00251E74">
        <w:rPr>
          <w:rFonts w:ascii="Calibri Light" w:hAnsi="Calibri Light" w:cs="Calibri Light"/>
        </w:rPr>
        <w:t xml:space="preserve"> exercise of these freedoms</w:t>
      </w:r>
      <w:r w:rsidR="000A6CD4" w:rsidRPr="00251E74">
        <w:rPr>
          <w:rFonts w:ascii="Calibri Light" w:hAnsi="Calibri Light" w:cs="Calibri Light"/>
        </w:rPr>
        <w:t>.”</w:t>
      </w:r>
      <w:r w:rsidR="00E06BB6" w:rsidRPr="00251E74">
        <w:rPr>
          <w:rFonts w:ascii="Calibri Light" w:hAnsi="Calibri Light" w:cs="Calibri Light"/>
        </w:rPr>
        <w:t xml:space="preserve"> </w:t>
      </w:r>
      <w:r w:rsidR="00E06BB6" w:rsidRPr="00251E74">
        <w:rPr>
          <w:rFonts w:ascii="Calibri Light" w:hAnsi="Calibri Light" w:cs="Calibri Light"/>
          <w:strike/>
        </w:rPr>
        <w:t>in the individual’s area of scholarly expertise.”</w:t>
      </w:r>
    </w:p>
    <w:p w14:paraId="76DE5328" w14:textId="77777777" w:rsidR="00657D71" w:rsidRPr="00251E74" w:rsidRDefault="00657D71" w:rsidP="00657D71">
      <w:pPr>
        <w:pStyle w:val="ListParagraph"/>
        <w:spacing w:line="276" w:lineRule="auto"/>
        <w:ind w:left="1440"/>
        <w:rPr>
          <w:rFonts w:ascii="Calibri Light" w:hAnsi="Calibri Light" w:cs="Calibri Light"/>
        </w:rPr>
      </w:pPr>
    </w:p>
    <w:p w14:paraId="02C9F762" w14:textId="77777777" w:rsidR="00657D71" w:rsidRPr="00251E74" w:rsidRDefault="00401F5C" w:rsidP="00D66536">
      <w:pPr>
        <w:pStyle w:val="ListParagraph"/>
        <w:numPr>
          <w:ilvl w:val="1"/>
          <w:numId w:val="18"/>
        </w:numPr>
        <w:spacing w:line="276" w:lineRule="auto"/>
        <w:rPr>
          <w:rFonts w:ascii="Calibri Light" w:hAnsi="Calibri Light" w:cs="Calibri Light"/>
        </w:rPr>
      </w:pPr>
      <w:r w:rsidRPr="00251E74">
        <w:rPr>
          <w:rFonts w:ascii="Calibri Light" w:hAnsi="Calibri Light" w:cs="Calibri Light"/>
          <w:b/>
          <w:bCs/>
        </w:rPr>
        <w:t xml:space="preserve">(Article </w:t>
      </w:r>
      <w:r w:rsidR="002B7594" w:rsidRPr="00251E74">
        <w:rPr>
          <w:rFonts w:ascii="Calibri Light" w:hAnsi="Calibri Light" w:cs="Calibri Light"/>
          <w:b/>
          <w:bCs/>
        </w:rPr>
        <w:t>X</w:t>
      </w:r>
      <w:r w:rsidRPr="00251E74">
        <w:rPr>
          <w:rFonts w:ascii="Calibri Light" w:hAnsi="Calibri Light" w:cs="Calibri Light"/>
          <w:b/>
          <w:bCs/>
        </w:rPr>
        <w:t xml:space="preserve"> Section </w:t>
      </w:r>
      <w:r w:rsidR="002B7594" w:rsidRPr="00251E74">
        <w:rPr>
          <w:rFonts w:ascii="Calibri Light" w:hAnsi="Calibri Light" w:cs="Calibri Light"/>
          <w:b/>
          <w:bCs/>
        </w:rPr>
        <w:t>6</w:t>
      </w:r>
      <w:r w:rsidRPr="00251E74">
        <w:rPr>
          <w:rFonts w:ascii="Calibri Light" w:hAnsi="Calibri Light" w:cs="Calibri Light"/>
          <w:b/>
          <w:bCs/>
        </w:rPr>
        <w:t xml:space="preserve">) </w:t>
      </w:r>
      <w:r w:rsidR="00626223" w:rsidRPr="00251E74">
        <w:rPr>
          <w:rFonts w:ascii="Calibri Light" w:hAnsi="Calibri Light" w:cs="Calibri Light"/>
          <w:b/>
          <w:bCs/>
        </w:rPr>
        <w:t>USC Revised Statutes line</w:t>
      </w:r>
      <w:r w:rsidR="002B7594" w:rsidRPr="00251E74">
        <w:rPr>
          <w:rFonts w:ascii="Calibri Light" w:hAnsi="Calibri Light" w:cs="Calibri Light"/>
          <w:b/>
          <w:bCs/>
        </w:rPr>
        <w:t>s 2219 through 2222</w:t>
      </w:r>
      <w:r w:rsidR="002B7594" w:rsidRPr="00251E74">
        <w:rPr>
          <w:rFonts w:ascii="Calibri Light" w:hAnsi="Calibri Light" w:cs="Calibri Light"/>
        </w:rPr>
        <w:t xml:space="preserve"> should be revised to read: </w:t>
      </w:r>
      <w:r w:rsidR="00D842E1" w:rsidRPr="00251E74">
        <w:rPr>
          <w:rFonts w:ascii="Calibri Light" w:hAnsi="Calibri Light" w:cs="Calibri Light"/>
        </w:rPr>
        <w:t xml:space="preserve"> “</w:t>
      </w:r>
      <w:r w:rsidR="00363370" w:rsidRPr="00251E74">
        <w:rPr>
          <w:rFonts w:ascii="Calibri Light" w:hAnsi="Calibri Light" w:cs="Calibri Light"/>
          <w:strike/>
        </w:rPr>
        <w:t>Faculty and academic professionals</w:t>
      </w:r>
      <w:r w:rsidR="00363370" w:rsidRPr="00251E74">
        <w:rPr>
          <w:rFonts w:ascii="Calibri Light" w:hAnsi="Calibri Light" w:cs="Calibri Light"/>
        </w:rPr>
        <w:t xml:space="preserve"> </w:t>
      </w:r>
      <w:r w:rsidR="00363370" w:rsidRPr="00251E74">
        <w:rPr>
          <w:rFonts w:ascii="Calibri Light" w:hAnsi="Calibri Light" w:cs="Calibri Light"/>
          <w:u w:val="single"/>
        </w:rPr>
        <w:t>University of Illinois System employees engaged in the primary academic work of the System</w:t>
      </w:r>
      <w:r w:rsidR="00363370" w:rsidRPr="00251E74">
        <w:rPr>
          <w:rFonts w:ascii="Calibri Light" w:hAnsi="Calibri Light" w:cs="Calibri Light"/>
        </w:rPr>
        <w:t xml:space="preserve"> who believe that they do not enjoy the academic freedom that it is the policy of the University of Illinois System to maintain and encourage shall be entitled to a hearing on written request before the Committee on Academic Freedom and Tenure of the appropriate university senate.” </w:t>
      </w:r>
    </w:p>
    <w:p w14:paraId="3ECF6760" w14:textId="77777777" w:rsidR="00657D71" w:rsidRPr="00251E74" w:rsidRDefault="00657D71" w:rsidP="00657D71">
      <w:pPr>
        <w:pStyle w:val="ListParagraph"/>
        <w:rPr>
          <w:rFonts w:ascii="Calibri Light" w:hAnsi="Calibri Light" w:cs="Calibri Light"/>
        </w:rPr>
      </w:pPr>
    </w:p>
    <w:p w14:paraId="2F94FA04" w14:textId="444FC98E" w:rsidR="00657D71" w:rsidRPr="00251E74" w:rsidRDefault="00401F5C" w:rsidP="00D66536">
      <w:pPr>
        <w:pStyle w:val="ListParagraph"/>
        <w:numPr>
          <w:ilvl w:val="1"/>
          <w:numId w:val="18"/>
        </w:numPr>
        <w:spacing w:line="276" w:lineRule="auto"/>
        <w:rPr>
          <w:rFonts w:ascii="Calibri Light" w:hAnsi="Calibri Light" w:cs="Calibri Light"/>
        </w:rPr>
      </w:pPr>
      <w:r w:rsidRPr="00251E74">
        <w:rPr>
          <w:rFonts w:ascii="Calibri Light" w:hAnsi="Calibri Light" w:cs="Calibri Light"/>
          <w:b/>
          <w:bCs/>
          <w:kern w:val="0"/>
          <w14:ligatures w14:val="none"/>
        </w:rPr>
        <w:t>(Article II Section 6) USC Revised Statutes line</w:t>
      </w:r>
      <w:r w:rsidR="00450B5E" w:rsidRPr="00251E74">
        <w:rPr>
          <w:rFonts w:ascii="Calibri Light" w:hAnsi="Calibri Light" w:cs="Calibri Light"/>
          <w:b/>
          <w:bCs/>
          <w:kern w:val="0"/>
          <w14:ligatures w14:val="none"/>
        </w:rPr>
        <w:t>s 448 through 452</w:t>
      </w:r>
      <w:r w:rsidR="00450B5E" w:rsidRPr="00251E74">
        <w:rPr>
          <w:rFonts w:ascii="Calibri Light" w:hAnsi="Calibri Light" w:cs="Calibri Light"/>
          <w:kern w:val="0"/>
          <w14:ligatures w14:val="none"/>
        </w:rPr>
        <w:t xml:space="preserve"> should be revised to read: </w:t>
      </w:r>
      <w:r w:rsidR="001A6EA4" w:rsidRPr="00251E74">
        <w:rPr>
          <w:rFonts w:ascii="Calibri Light" w:hAnsi="Calibri Light" w:cs="Calibri Light"/>
          <w:kern w:val="0"/>
          <w14:ligatures w14:val="none"/>
        </w:rPr>
        <w:t>“Staff positions fall into two categories: those assigned as part of the State Universities Civil Service System (SUCSS) classification plan (civil service) and those exempted from that classification plan</w:t>
      </w:r>
      <w:r w:rsidR="005E69FE" w:rsidRPr="00251E74">
        <w:rPr>
          <w:rFonts w:ascii="Calibri Light" w:hAnsi="Calibri Light" w:cs="Calibri Light"/>
          <w:kern w:val="0"/>
          <w:u w:val="single"/>
          <w14:ligatures w14:val="none"/>
        </w:rPr>
        <w:t>, and which may</w:t>
      </w:r>
      <w:r w:rsidR="005E69FE" w:rsidRPr="00251E74">
        <w:rPr>
          <w:rFonts w:ascii="Calibri Light" w:hAnsi="Calibri Light" w:cs="Calibri Light"/>
          <w:kern w:val="0"/>
          <w14:ligatures w14:val="none"/>
        </w:rPr>
        <w:t xml:space="preserve"> </w:t>
      </w:r>
      <w:r w:rsidR="00450B5E" w:rsidRPr="00251E74">
        <w:rPr>
          <w:rFonts w:ascii="Calibri Light" w:hAnsi="Calibri Light" w:cs="Calibri Light"/>
          <w:strike/>
          <w:kern w:val="0"/>
          <w14:ligatures w14:val="none"/>
        </w:rPr>
        <w:t>Those exempted</w:t>
      </w:r>
      <w:r w:rsidR="00450B5E" w:rsidRPr="00251E74">
        <w:rPr>
          <w:rFonts w:ascii="Calibri Light" w:hAnsi="Calibri Light" w:cs="Calibri Light"/>
          <w:kern w:val="0"/>
          <w14:ligatures w14:val="none"/>
        </w:rPr>
        <w:t xml:space="preserve"> include </w:t>
      </w:r>
      <w:r w:rsidR="001A6EA4" w:rsidRPr="00251E74">
        <w:rPr>
          <w:rFonts w:ascii="Calibri Light" w:hAnsi="Calibri Light" w:cs="Calibri Light"/>
          <w:kern w:val="0"/>
          <w14:ligatures w14:val="none"/>
        </w:rPr>
        <w:t xml:space="preserve">academic professionals and other positions related to teaching and research, such as postdoctoral research associates.” </w:t>
      </w:r>
      <w:r w:rsidR="00C95FEC" w:rsidRPr="00251E74">
        <w:rPr>
          <w:rFonts w:ascii="Calibri Light" w:hAnsi="Calibri Light" w:cs="Calibri Light"/>
          <w:b/>
          <w:bCs/>
          <w:kern w:val="0"/>
          <w14:ligatures w14:val="none"/>
        </w:rPr>
        <w:t>Note</w:t>
      </w:r>
      <w:r w:rsidR="00C95FEC" w:rsidRPr="00251E74">
        <w:rPr>
          <w:rFonts w:ascii="Calibri Light" w:hAnsi="Calibri Light" w:cs="Calibri Light"/>
          <w:kern w:val="0"/>
          <w14:ligatures w14:val="none"/>
        </w:rPr>
        <w:t>: w</w:t>
      </w:r>
      <w:r w:rsidR="001A6EA4" w:rsidRPr="00251E74">
        <w:rPr>
          <w:rFonts w:ascii="Calibri Light" w:hAnsi="Calibri Light" w:cs="Calibri Light"/>
          <w:kern w:val="0"/>
          <w14:ligatures w14:val="none"/>
        </w:rPr>
        <w:t xml:space="preserve">ithout this wording change the </w:t>
      </w:r>
      <w:r w:rsidR="00140B69" w:rsidRPr="00251E74">
        <w:rPr>
          <w:rFonts w:ascii="Calibri Light" w:hAnsi="Calibri Light" w:cs="Calibri Light"/>
          <w:kern w:val="0"/>
          <w14:ligatures w14:val="none"/>
        </w:rPr>
        <w:t xml:space="preserve">provision can </w:t>
      </w:r>
      <w:r w:rsidR="00140B69" w:rsidRPr="00251E74">
        <w:rPr>
          <w:rFonts w:ascii="Calibri Light" w:hAnsi="Calibri Light" w:cs="Calibri Light"/>
          <w:kern w:val="0"/>
          <w14:ligatures w14:val="none"/>
        </w:rPr>
        <w:lastRenderedPageBreak/>
        <w:t>be read to exclude academic professional staff positions that do not entail either teaching or research.</w:t>
      </w:r>
      <w:r w:rsidR="005700B5" w:rsidRPr="00251E74">
        <w:rPr>
          <w:rFonts w:ascii="Calibri Light" w:hAnsi="Calibri Light" w:cs="Calibri Light"/>
          <w:kern w:val="0"/>
          <w14:ligatures w14:val="none"/>
        </w:rPr>
        <w:t xml:space="preserve"> </w:t>
      </w:r>
      <w:r w:rsidR="005700B5" w:rsidRPr="00251E74">
        <w:rPr>
          <w:rFonts w:ascii="Calibri Light" w:hAnsi="Calibri Light" w:cs="Calibri Light"/>
          <w:b/>
          <w:bCs/>
          <w:kern w:val="0"/>
          <w14:ligatures w14:val="none"/>
        </w:rPr>
        <w:t>Also of concern</w:t>
      </w:r>
      <w:r w:rsidR="005700B5" w:rsidRPr="00251E74">
        <w:rPr>
          <w:rFonts w:ascii="Calibri Light" w:hAnsi="Calibri Light" w:cs="Calibri Light"/>
          <w:kern w:val="0"/>
          <w14:ligatures w14:val="none"/>
        </w:rPr>
        <w:t>: th</w:t>
      </w:r>
      <w:r w:rsidR="00C95FEC" w:rsidRPr="00251E74">
        <w:rPr>
          <w:rFonts w:ascii="Calibri Light" w:hAnsi="Calibri Light" w:cs="Calibri Light"/>
          <w:kern w:val="0"/>
          <w14:ligatures w14:val="none"/>
        </w:rPr>
        <w:t xml:space="preserve">e </w:t>
      </w:r>
      <w:r w:rsidR="005700B5" w:rsidRPr="00251E74">
        <w:rPr>
          <w:rFonts w:ascii="Calibri Light" w:hAnsi="Calibri Light" w:cs="Calibri Light"/>
          <w:kern w:val="0"/>
          <w14:ligatures w14:val="none"/>
        </w:rPr>
        <w:t xml:space="preserve">section cites </w:t>
      </w:r>
      <w:r w:rsidR="00C95FEC" w:rsidRPr="00251E74">
        <w:rPr>
          <w:rFonts w:ascii="Calibri Light" w:hAnsi="Calibri Light" w:cs="Calibri Light"/>
          <w:kern w:val="0"/>
          <w14:ligatures w14:val="none"/>
        </w:rPr>
        <w:t xml:space="preserve">to a non-existent </w:t>
      </w:r>
      <w:r w:rsidR="005700B5" w:rsidRPr="00251E74">
        <w:rPr>
          <w:rFonts w:ascii="Calibri Light" w:hAnsi="Calibri Light" w:cs="Calibri Light"/>
          <w:kern w:val="0"/>
          <w14:ligatures w14:val="none"/>
        </w:rPr>
        <w:t>“Article IX, Section 2 (g)(4))</w:t>
      </w:r>
      <w:r w:rsidR="00C95FEC" w:rsidRPr="00251E74">
        <w:rPr>
          <w:rFonts w:ascii="Calibri Light" w:hAnsi="Calibri Light" w:cs="Calibri Light"/>
          <w:kern w:val="0"/>
          <w14:ligatures w14:val="none"/>
        </w:rPr>
        <w:t>.</w:t>
      </w:r>
      <w:r w:rsidR="005700B5" w:rsidRPr="00251E74">
        <w:rPr>
          <w:rFonts w:ascii="Calibri Light" w:hAnsi="Calibri Light" w:cs="Calibri Light"/>
          <w:kern w:val="0"/>
          <w14:ligatures w14:val="none"/>
        </w:rPr>
        <w:t>”</w:t>
      </w:r>
      <w:r w:rsidR="00C95FEC" w:rsidRPr="00251E74">
        <w:rPr>
          <w:rFonts w:ascii="Calibri Light" w:hAnsi="Calibri Light" w:cs="Calibri Light"/>
          <w:kern w:val="0"/>
          <w14:ligatures w14:val="none"/>
        </w:rPr>
        <w:t xml:space="preserve"> </w:t>
      </w:r>
      <w:r w:rsidR="005700B5" w:rsidRPr="00251E74">
        <w:rPr>
          <w:rFonts w:ascii="Calibri Light" w:hAnsi="Calibri Light" w:cs="Calibri Light"/>
          <w:kern w:val="0"/>
          <w14:ligatures w14:val="none"/>
        </w:rPr>
        <w:t xml:space="preserve"> </w:t>
      </w:r>
    </w:p>
    <w:p w14:paraId="18E5FAE3" w14:textId="77777777" w:rsidR="00657D71" w:rsidRPr="00251E74" w:rsidRDefault="00657D71" w:rsidP="00657D71">
      <w:pPr>
        <w:pStyle w:val="ListParagraph"/>
        <w:rPr>
          <w:rFonts w:ascii="Calibri Light" w:hAnsi="Calibri Light" w:cs="Calibri Light"/>
        </w:rPr>
      </w:pPr>
    </w:p>
    <w:p w14:paraId="0EBBCBBC" w14:textId="05B594D4" w:rsidR="00DE4CE4" w:rsidRPr="00251E74" w:rsidRDefault="00140B69" w:rsidP="00D66536">
      <w:pPr>
        <w:pStyle w:val="ListParagraph"/>
        <w:numPr>
          <w:ilvl w:val="1"/>
          <w:numId w:val="18"/>
        </w:numPr>
        <w:spacing w:line="276" w:lineRule="auto"/>
        <w:rPr>
          <w:rFonts w:ascii="Calibri Light" w:hAnsi="Calibri Light" w:cs="Calibri Light"/>
        </w:rPr>
      </w:pPr>
      <w:r w:rsidRPr="00251E74">
        <w:rPr>
          <w:rFonts w:ascii="Calibri Light" w:hAnsi="Calibri Light" w:cs="Calibri Light"/>
          <w:b/>
          <w:bCs/>
          <w:kern w:val="0"/>
          <w14:ligatures w14:val="none"/>
        </w:rPr>
        <w:t>(</w:t>
      </w:r>
      <w:r w:rsidR="00916936" w:rsidRPr="00251E74">
        <w:rPr>
          <w:rFonts w:ascii="Calibri Light" w:hAnsi="Calibri Light" w:cs="Calibri Light"/>
          <w:b/>
          <w:bCs/>
          <w:kern w:val="0"/>
          <w14:ligatures w14:val="none"/>
        </w:rPr>
        <w:t>Article IX, Section 2.g (3)</w:t>
      </w:r>
      <w:r w:rsidRPr="00251E74">
        <w:rPr>
          <w:rFonts w:ascii="Calibri Light" w:hAnsi="Calibri Light" w:cs="Calibri Light"/>
          <w:b/>
          <w:bCs/>
          <w:kern w:val="0"/>
          <w14:ligatures w14:val="none"/>
        </w:rPr>
        <w:t>)</w:t>
      </w:r>
      <w:r w:rsidR="00DE4CE4" w:rsidRPr="00251E74">
        <w:rPr>
          <w:rFonts w:ascii="Calibri Light" w:hAnsi="Calibri Light" w:cs="Calibri Light"/>
          <w:b/>
          <w:bCs/>
          <w:kern w:val="0"/>
          <w14:ligatures w14:val="none"/>
        </w:rPr>
        <w:t xml:space="preserve"> USC Revised Statutes line</w:t>
      </w:r>
      <w:r w:rsidR="00A67F62" w:rsidRPr="00251E74">
        <w:rPr>
          <w:rFonts w:ascii="Calibri Light" w:hAnsi="Calibri Light" w:cs="Calibri Light"/>
          <w:b/>
          <w:bCs/>
          <w:kern w:val="0"/>
          <w14:ligatures w14:val="none"/>
        </w:rPr>
        <w:t>s 1430 and 1431</w:t>
      </w:r>
      <w:r w:rsidR="00A67F62" w:rsidRPr="00251E74">
        <w:rPr>
          <w:rFonts w:ascii="Calibri Light" w:hAnsi="Calibri Light" w:cs="Calibri Light"/>
          <w:kern w:val="0"/>
          <w14:ligatures w14:val="none"/>
        </w:rPr>
        <w:t xml:space="preserve"> refer back to the problematic language </w:t>
      </w:r>
      <w:r w:rsidR="00916936" w:rsidRPr="00251E74">
        <w:rPr>
          <w:rFonts w:ascii="Calibri Light" w:hAnsi="Calibri Light" w:cs="Calibri Light"/>
          <w:kern w:val="0"/>
          <w14:ligatures w14:val="none"/>
        </w:rPr>
        <w:t xml:space="preserve">proposed in Article II, Section </w:t>
      </w:r>
      <w:r w:rsidR="00B32344" w:rsidRPr="00251E74">
        <w:rPr>
          <w:rFonts w:ascii="Calibri Light" w:hAnsi="Calibri Light" w:cs="Calibri Light"/>
          <w:kern w:val="0"/>
          <w14:ligatures w14:val="none"/>
        </w:rPr>
        <w:t xml:space="preserve">6 and if left unchanged </w:t>
      </w:r>
      <w:r w:rsidR="009959FD" w:rsidRPr="00251E74">
        <w:rPr>
          <w:rFonts w:ascii="Calibri Light" w:hAnsi="Calibri Light" w:cs="Calibri Light"/>
          <w:kern w:val="0"/>
          <w14:ligatures w14:val="none"/>
        </w:rPr>
        <w:t xml:space="preserve">can also be read to exclude </w:t>
      </w:r>
      <w:r w:rsidR="00DE4CE4" w:rsidRPr="00251E74">
        <w:rPr>
          <w:rFonts w:ascii="Calibri Light" w:hAnsi="Calibri Light" w:cs="Calibri Light"/>
          <w:kern w:val="0"/>
          <w14:ligatures w14:val="none"/>
        </w:rPr>
        <w:t>academic professional staff positions that do not entail either teaching or research.</w:t>
      </w:r>
    </w:p>
    <w:p w14:paraId="4CB6BE7F" w14:textId="77777777" w:rsidR="00657D71" w:rsidRPr="00251E74" w:rsidRDefault="00657D71" w:rsidP="00016FD0">
      <w:pPr>
        <w:spacing w:line="276" w:lineRule="auto"/>
        <w:rPr>
          <w:rFonts w:ascii="Calibri Light" w:hAnsi="Calibri Light" w:cs="Calibri Light"/>
          <w:b/>
          <w:bCs/>
        </w:rPr>
      </w:pPr>
    </w:p>
    <w:p w14:paraId="651B9738" w14:textId="0148461F" w:rsidR="00C4147C" w:rsidRPr="00251E74" w:rsidRDefault="000976CA" w:rsidP="00016FD0">
      <w:pPr>
        <w:spacing w:line="276" w:lineRule="auto"/>
        <w:rPr>
          <w:rFonts w:ascii="Calibri Light" w:hAnsi="Calibri Light" w:cs="Calibri Light"/>
          <w:b/>
          <w:bCs/>
        </w:rPr>
      </w:pPr>
      <w:r w:rsidRPr="00251E74">
        <w:rPr>
          <w:rFonts w:ascii="Calibri Light" w:hAnsi="Calibri Light" w:cs="Calibri Light"/>
          <w:b/>
          <w:bCs/>
        </w:rPr>
        <w:t>Additional</w:t>
      </w:r>
      <w:r w:rsidR="00C4147C" w:rsidRPr="00251E74">
        <w:rPr>
          <w:rFonts w:ascii="Calibri Light" w:hAnsi="Calibri Light" w:cs="Calibri Light"/>
          <w:b/>
          <w:bCs/>
        </w:rPr>
        <w:t xml:space="preserve"> </w:t>
      </w:r>
      <w:r w:rsidR="00023250" w:rsidRPr="00251E74">
        <w:rPr>
          <w:rFonts w:ascii="Calibri Light" w:hAnsi="Calibri Light" w:cs="Calibri Light"/>
          <w:b/>
          <w:bCs/>
        </w:rPr>
        <w:t>Areas</w:t>
      </w:r>
      <w:r w:rsidR="00016FD0" w:rsidRPr="00251E74">
        <w:rPr>
          <w:rFonts w:ascii="Calibri Light" w:hAnsi="Calibri Light" w:cs="Calibri Light"/>
          <w:b/>
          <w:bCs/>
        </w:rPr>
        <w:t xml:space="preserve"> of Concern</w:t>
      </w:r>
    </w:p>
    <w:p w14:paraId="04F59CCD" w14:textId="130BC2E5" w:rsidR="00C4147C" w:rsidRPr="00251E74" w:rsidRDefault="00C362C5" w:rsidP="00C9639E">
      <w:pPr>
        <w:spacing w:after="0" w:line="276" w:lineRule="auto"/>
        <w:rPr>
          <w:rFonts w:ascii="Calibri Light" w:hAnsi="Calibri Light" w:cs="Calibri Light"/>
          <w:i/>
          <w:iCs/>
          <w:kern w:val="0"/>
          <w14:ligatures w14:val="none"/>
        </w:rPr>
      </w:pPr>
      <w:r w:rsidRPr="00251E74">
        <w:rPr>
          <w:rFonts w:ascii="Calibri Light" w:hAnsi="Calibri Light" w:cs="Calibri Light"/>
          <w:i/>
          <w:iCs/>
          <w:kern w:val="0"/>
        </w:rPr>
        <w:t xml:space="preserve">ARTICLE II </w:t>
      </w:r>
      <w:r w:rsidR="00C4147C" w:rsidRPr="00251E74">
        <w:rPr>
          <w:rFonts w:ascii="Calibri Light" w:hAnsi="Calibri Light" w:cs="Calibri Light"/>
          <w:i/>
          <w:iCs/>
          <w:kern w:val="0"/>
          <w14:ligatures w14:val="none"/>
        </w:rPr>
        <w:t>– LEGISLATIVE ORGANIZATION</w:t>
      </w:r>
    </w:p>
    <w:p w14:paraId="067B325F" w14:textId="77777777" w:rsidR="00C4147C" w:rsidRPr="00251E74" w:rsidRDefault="00C4147C" w:rsidP="00C9639E">
      <w:pPr>
        <w:spacing w:after="0" w:line="276" w:lineRule="auto"/>
        <w:rPr>
          <w:rFonts w:ascii="Calibri Light" w:hAnsi="Calibri Light" w:cs="Calibri Light"/>
          <w:i/>
          <w:iCs/>
          <w:kern w:val="0"/>
          <w14:ligatures w14:val="none"/>
        </w:rPr>
      </w:pPr>
      <w:r w:rsidRPr="00251E74">
        <w:rPr>
          <w:rFonts w:ascii="Calibri Light" w:hAnsi="Calibri Light" w:cs="Calibri Light"/>
          <w:i/>
          <w:iCs/>
          <w:kern w:val="0"/>
          <w14:ligatures w14:val="none"/>
        </w:rPr>
        <w:t xml:space="preserve">Section 1. Faculty </w:t>
      </w:r>
    </w:p>
    <w:p w14:paraId="1B874B37" w14:textId="5DEBA9DC" w:rsidR="00C4147C" w:rsidRPr="00251E74" w:rsidRDefault="008E2435" w:rsidP="00C9639E">
      <w:pPr>
        <w:autoSpaceDE w:val="0"/>
        <w:autoSpaceDN w:val="0"/>
        <w:adjustRightInd w:val="0"/>
        <w:spacing w:after="0" w:line="276" w:lineRule="auto"/>
        <w:contextualSpacing/>
        <w:rPr>
          <w:rFonts w:ascii="Calibri Light" w:hAnsi="Calibri Light" w:cs="Calibri Light"/>
          <w:kern w:val="0"/>
        </w:rPr>
      </w:pPr>
      <w:r w:rsidRPr="00251E74">
        <w:rPr>
          <w:rFonts w:ascii="Calibri Light" w:hAnsi="Calibri Light" w:cs="Calibri Light"/>
          <w:b/>
          <w:bCs/>
          <w:kern w:val="0"/>
        </w:rPr>
        <w:t>Modified Article II, Section 1.g</w:t>
      </w:r>
      <w:r w:rsidRPr="00251E74">
        <w:rPr>
          <w:rFonts w:ascii="Calibri Light" w:hAnsi="Calibri Light" w:cs="Calibri Light"/>
          <w:kern w:val="0"/>
        </w:rPr>
        <w:t xml:space="preserve"> expressly grants tenure and non-tenure faculty "inherent interests and rights in academic policy and governance." </w:t>
      </w:r>
      <w:r w:rsidRPr="00A67197">
        <w:rPr>
          <w:rFonts w:ascii="Calibri Light" w:hAnsi="Calibri Light" w:cs="Calibri Light"/>
          <w:b/>
          <w:bCs/>
          <w:kern w:val="0"/>
        </w:rPr>
        <w:t>PRI’s concern</w:t>
      </w:r>
      <w:r w:rsidRPr="00251E74">
        <w:rPr>
          <w:rFonts w:ascii="Calibri Light" w:hAnsi="Calibri Light" w:cs="Calibri Light"/>
          <w:kern w:val="0"/>
        </w:rPr>
        <w:t>: the Statutes expressly grant interests and rights in “academic” policy and governance only to University faculty; there is no comparable grant for non-faculty and staff. The majority of PRI’s employees are not faculty. If shared governance is the System goal, as is strongly suggested by the Preamble to the Statutes, then the Statutes should also expressly state that like faculty, System staff also have inherent interests and rights in System policy and governance.</w:t>
      </w:r>
    </w:p>
    <w:p w14:paraId="33CD3D1D" w14:textId="77777777" w:rsidR="008E2435" w:rsidRPr="00251E74" w:rsidRDefault="008E2435" w:rsidP="00C9639E">
      <w:pPr>
        <w:spacing w:after="0" w:line="276" w:lineRule="auto"/>
        <w:rPr>
          <w:rFonts w:ascii="Calibri Light" w:hAnsi="Calibri Light" w:cs="Calibri Light"/>
          <w:b/>
          <w:bCs/>
          <w:kern w:val="0"/>
          <w14:ligatures w14:val="none"/>
        </w:rPr>
      </w:pPr>
    </w:p>
    <w:p w14:paraId="305D2A9D" w14:textId="1AE08EA6" w:rsidR="00C4147C" w:rsidRPr="00251E74" w:rsidRDefault="00C4147C" w:rsidP="00C9639E">
      <w:pPr>
        <w:spacing w:after="0" w:line="276" w:lineRule="auto"/>
        <w:rPr>
          <w:rFonts w:ascii="Calibri Light" w:hAnsi="Calibri Light" w:cs="Calibri Light"/>
          <w:i/>
          <w:iCs/>
          <w:kern w:val="0"/>
          <w14:ligatures w14:val="none"/>
        </w:rPr>
      </w:pPr>
      <w:r w:rsidRPr="00251E74">
        <w:rPr>
          <w:rFonts w:ascii="Calibri Light" w:hAnsi="Calibri Light" w:cs="Calibri Light"/>
          <w:i/>
          <w:iCs/>
          <w:kern w:val="0"/>
          <w14:ligatures w14:val="none"/>
        </w:rPr>
        <w:t>Section 2. University Senates</w:t>
      </w:r>
    </w:p>
    <w:p w14:paraId="729CB643" w14:textId="12E788BD" w:rsidR="00C4147C" w:rsidRPr="00251E74" w:rsidRDefault="00C4147C" w:rsidP="00C9639E">
      <w:pPr>
        <w:autoSpaceDE w:val="0"/>
        <w:autoSpaceDN w:val="0"/>
        <w:adjustRightInd w:val="0"/>
        <w:spacing w:after="0" w:line="276" w:lineRule="auto"/>
        <w:contextualSpacing/>
        <w:rPr>
          <w:rFonts w:ascii="Calibri Light" w:hAnsi="Calibri Light" w:cs="Calibri Light"/>
          <w:kern w:val="0"/>
        </w:rPr>
      </w:pPr>
      <w:r w:rsidRPr="00251E74">
        <w:rPr>
          <w:rFonts w:ascii="Calibri Light" w:hAnsi="Calibri Light" w:cs="Calibri Light"/>
          <w:b/>
          <w:bCs/>
          <w:kern w:val="0"/>
        </w:rPr>
        <w:t>Existing Article II, Section 2.b and 2.c</w:t>
      </w:r>
      <w:r w:rsidRPr="00251E74">
        <w:rPr>
          <w:rFonts w:ascii="Calibri Light" w:hAnsi="Calibri Light" w:cs="Calibri Light"/>
          <w:kern w:val="0"/>
        </w:rPr>
        <w:t xml:space="preserve"> limit each Senate’s representation to the issue of shared governance on “matters of </w:t>
      </w:r>
      <w:r w:rsidRPr="00251E74">
        <w:rPr>
          <w:rFonts w:ascii="Calibri Light" w:hAnsi="Calibri Light" w:cs="Calibri Light"/>
          <w:i/>
          <w:iCs/>
          <w:kern w:val="0"/>
        </w:rPr>
        <w:t>educational policy</w:t>
      </w:r>
      <w:r w:rsidRPr="00251E74">
        <w:rPr>
          <w:rFonts w:ascii="Calibri Light" w:hAnsi="Calibri Light" w:cs="Calibri Light"/>
          <w:kern w:val="0"/>
        </w:rPr>
        <w:t xml:space="preserve"> affecting its university.” Each Senate is elected to "jointly represent" "faculty, students, academic professionals, and others it deems eligible to participate in shared governance discussions</w:t>
      </w:r>
      <w:r w:rsidR="005D6829" w:rsidRPr="00251E74">
        <w:rPr>
          <w:rFonts w:ascii="Calibri Light" w:hAnsi="Calibri Light" w:cs="Calibri Light"/>
          <w:kern w:val="0"/>
        </w:rPr>
        <w:t xml:space="preserve">.” </w:t>
      </w:r>
      <w:r w:rsidR="005D6829" w:rsidRPr="00A67197">
        <w:rPr>
          <w:rFonts w:ascii="Calibri Light" w:hAnsi="Calibri Light" w:cs="Calibri Light"/>
          <w:b/>
          <w:bCs/>
          <w:kern w:val="0"/>
        </w:rPr>
        <w:t>PRI’s concern</w:t>
      </w:r>
      <w:r w:rsidR="005D6829" w:rsidRPr="00251E74">
        <w:rPr>
          <w:rFonts w:ascii="Calibri Light" w:hAnsi="Calibri Light" w:cs="Calibri Light"/>
          <w:kern w:val="0"/>
        </w:rPr>
        <w:t xml:space="preserve">: </w:t>
      </w:r>
      <w:r w:rsidRPr="00251E74">
        <w:rPr>
          <w:rFonts w:ascii="Calibri Light" w:hAnsi="Calibri Light" w:cs="Calibri Light"/>
          <w:kern w:val="0"/>
        </w:rPr>
        <w:t>in order for Senates to represent the myriad interests of faculty</w:t>
      </w:r>
      <w:r w:rsidRPr="00251E74">
        <w:rPr>
          <w:rFonts w:ascii="Calibri Light" w:hAnsi="Calibri Light" w:cs="Calibri Light"/>
          <w:i/>
          <w:iCs/>
          <w:kern w:val="0"/>
        </w:rPr>
        <w:t xml:space="preserve"> and staff</w:t>
      </w:r>
      <w:r w:rsidRPr="00251E74">
        <w:rPr>
          <w:rFonts w:ascii="Calibri Light" w:hAnsi="Calibri Light" w:cs="Calibri Light"/>
          <w:kern w:val="0"/>
        </w:rPr>
        <w:t xml:space="preserve"> they should not be limited to representing only educational policy affecting their University. </w:t>
      </w:r>
      <w:r w:rsidR="005D6829" w:rsidRPr="00251E74">
        <w:rPr>
          <w:rFonts w:ascii="Calibri Light" w:hAnsi="Calibri Light" w:cs="Calibri Light"/>
          <w:kern w:val="0"/>
        </w:rPr>
        <w:t xml:space="preserve">The Institute’s interests, for example, </w:t>
      </w:r>
      <w:r w:rsidRPr="00251E74">
        <w:rPr>
          <w:rFonts w:ascii="Calibri Light" w:hAnsi="Calibri Light" w:cs="Calibri Light"/>
          <w:kern w:val="0"/>
        </w:rPr>
        <w:t xml:space="preserve">involve more than “educational policy.” </w:t>
      </w:r>
      <w:r w:rsidR="006F5AB5" w:rsidRPr="00251E74">
        <w:rPr>
          <w:rFonts w:ascii="Calibri Light" w:hAnsi="Calibri Light" w:cs="Calibri Light"/>
          <w:kern w:val="0"/>
        </w:rPr>
        <w:t xml:space="preserve">PRI recommends that the </w:t>
      </w:r>
      <w:r w:rsidRPr="00251E74">
        <w:rPr>
          <w:rFonts w:ascii="Calibri Light" w:hAnsi="Calibri Light" w:cs="Calibri Light"/>
          <w:kern w:val="0"/>
        </w:rPr>
        <w:t xml:space="preserve">term “matters of educational policy” be replaced with “policy matters involving the primary academic work of the System, as defined in the Preamble to the Statutes.” </w:t>
      </w:r>
    </w:p>
    <w:p w14:paraId="01092613" w14:textId="77777777" w:rsidR="00C4147C" w:rsidRPr="00251E74" w:rsidRDefault="00C4147C" w:rsidP="00C9639E">
      <w:pPr>
        <w:spacing w:after="0" w:line="276" w:lineRule="auto"/>
        <w:rPr>
          <w:rFonts w:ascii="Calibri Light" w:hAnsi="Calibri Light" w:cs="Calibri Light"/>
          <w:kern w:val="0"/>
          <w14:ligatures w14:val="none"/>
        </w:rPr>
      </w:pPr>
    </w:p>
    <w:p w14:paraId="57065DF9" w14:textId="77777777" w:rsidR="00C4147C" w:rsidRPr="00251E74" w:rsidRDefault="00C4147C" w:rsidP="00C9639E">
      <w:pPr>
        <w:spacing w:after="0" w:line="276" w:lineRule="auto"/>
        <w:rPr>
          <w:rFonts w:ascii="Calibri Light" w:hAnsi="Calibri Light" w:cs="Calibri Light"/>
          <w:i/>
          <w:iCs/>
          <w:kern w:val="0"/>
          <w14:ligatures w14:val="none"/>
        </w:rPr>
      </w:pPr>
      <w:r w:rsidRPr="00251E74">
        <w:rPr>
          <w:rFonts w:ascii="Calibri Light" w:hAnsi="Calibri Light" w:cs="Calibri Light"/>
          <w:i/>
          <w:iCs/>
          <w:kern w:val="0"/>
          <w14:ligatures w14:val="none"/>
        </w:rPr>
        <w:t>Section 3. University Senates Conference</w:t>
      </w:r>
    </w:p>
    <w:p w14:paraId="5B1E0640" w14:textId="7F620385" w:rsidR="00C4147C" w:rsidRPr="00251E74" w:rsidRDefault="00C4147C" w:rsidP="00C9639E">
      <w:pPr>
        <w:spacing w:after="0" w:line="276" w:lineRule="auto"/>
        <w:contextualSpacing/>
        <w:rPr>
          <w:rFonts w:ascii="Calibri Light" w:hAnsi="Calibri Light" w:cs="Calibri Light"/>
          <w:kern w:val="0"/>
          <w14:ligatures w14:val="none"/>
        </w:rPr>
      </w:pPr>
      <w:r w:rsidRPr="00251E74">
        <w:rPr>
          <w:rFonts w:ascii="Calibri Light" w:hAnsi="Calibri Light" w:cs="Calibri Light"/>
          <w:b/>
          <w:bCs/>
          <w:kern w:val="0"/>
          <w14:ligatures w14:val="none"/>
        </w:rPr>
        <w:t>Existing Article II, Section 3.a.(1)</w:t>
      </w:r>
      <w:r w:rsidRPr="00251E74">
        <w:rPr>
          <w:rFonts w:ascii="Calibri Light" w:hAnsi="Calibri Light" w:cs="Calibri Light"/>
          <w:kern w:val="0"/>
          <w14:ligatures w14:val="none"/>
        </w:rPr>
        <w:t xml:space="preserve"> allows additional USC members to be appointed proportionally from each Senate depending upon the number of faculty. </w:t>
      </w:r>
      <w:r w:rsidR="005440B0" w:rsidRPr="00251E74">
        <w:rPr>
          <w:rFonts w:ascii="Calibri Light" w:hAnsi="Calibri Light" w:cs="Calibri Light"/>
          <w:b/>
          <w:bCs/>
          <w:kern w:val="0"/>
          <w14:ligatures w14:val="none"/>
        </w:rPr>
        <w:t>PRI’s concern</w:t>
      </w:r>
      <w:r w:rsidRPr="00251E74">
        <w:rPr>
          <w:rFonts w:ascii="Calibri Light" w:hAnsi="Calibri Light" w:cs="Calibri Light"/>
          <w:b/>
          <w:bCs/>
          <w:kern w:val="0"/>
          <w14:ligatures w14:val="none"/>
        </w:rPr>
        <w:t>:</w:t>
      </w:r>
      <w:r w:rsidRPr="00251E74">
        <w:rPr>
          <w:rFonts w:ascii="Calibri Light" w:hAnsi="Calibri Light" w:cs="Calibri Light"/>
          <w:kern w:val="0"/>
          <w14:ligatures w14:val="none"/>
        </w:rPr>
        <w:t xml:space="preserve"> if shared governance is the goal, why is the number of faculty the criteria for additional Senate representation? </w:t>
      </w:r>
      <w:r w:rsidR="005440B0" w:rsidRPr="00251E74">
        <w:rPr>
          <w:rFonts w:ascii="Calibri Light" w:hAnsi="Calibri Light" w:cs="Calibri Light"/>
          <w:kern w:val="0"/>
          <w14:ligatures w14:val="none"/>
        </w:rPr>
        <w:t xml:space="preserve">This could </w:t>
      </w:r>
      <w:r w:rsidRPr="00251E74">
        <w:rPr>
          <w:rFonts w:ascii="Calibri Light" w:hAnsi="Calibri Light" w:cs="Calibri Light"/>
          <w:kern w:val="0"/>
          <w14:ligatures w14:val="none"/>
        </w:rPr>
        <w:t xml:space="preserve">potentially reduce representation on the USC of System units and entities that do not employ a large number </w:t>
      </w:r>
      <w:r w:rsidR="005440B0" w:rsidRPr="00251E74">
        <w:rPr>
          <w:rFonts w:ascii="Calibri Light" w:hAnsi="Calibri Light" w:cs="Calibri Light"/>
          <w:kern w:val="0"/>
          <w14:ligatures w14:val="none"/>
        </w:rPr>
        <w:t xml:space="preserve">of faculty and, like PRI no faculty at all (our Executive Director, excepted). </w:t>
      </w:r>
      <w:r w:rsidR="00CE43A7" w:rsidRPr="00251E74">
        <w:rPr>
          <w:rFonts w:ascii="Calibri Light" w:hAnsi="Calibri Light" w:cs="Calibri Light"/>
          <w:kern w:val="0"/>
          <w14:ligatures w14:val="none"/>
        </w:rPr>
        <w:t xml:space="preserve">PRI recommends </w:t>
      </w:r>
      <w:r w:rsidRPr="00251E74">
        <w:rPr>
          <w:rFonts w:ascii="Calibri Light" w:hAnsi="Calibri Light" w:cs="Calibri Light"/>
          <w:kern w:val="0"/>
          <w14:ligatures w14:val="none"/>
        </w:rPr>
        <w:t xml:space="preserve">basing criteria for additional USC membership </w:t>
      </w:r>
      <w:r w:rsidRPr="00251E74">
        <w:rPr>
          <w:rFonts w:ascii="Calibri Light" w:hAnsi="Calibri Light" w:cs="Calibri Light"/>
          <w:i/>
          <w:iCs/>
          <w:kern w:val="0"/>
          <w14:ligatures w14:val="none"/>
        </w:rPr>
        <w:t xml:space="preserve">not </w:t>
      </w:r>
      <w:r w:rsidR="00CE43A7" w:rsidRPr="00251E74">
        <w:rPr>
          <w:rFonts w:ascii="Calibri Light" w:hAnsi="Calibri Light" w:cs="Calibri Light"/>
          <w:i/>
          <w:iCs/>
          <w:kern w:val="0"/>
          <w14:ligatures w14:val="none"/>
        </w:rPr>
        <w:t xml:space="preserve">solely </w:t>
      </w:r>
      <w:r w:rsidRPr="00251E74">
        <w:rPr>
          <w:rFonts w:ascii="Calibri Light" w:hAnsi="Calibri Light" w:cs="Calibri Light"/>
          <w:i/>
          <w:iCs/>
          <w:kern w:val="0"/>
          <w14:ligatures w14:val="none"/>
        </w:rPr>
        <w:t xml:space="preserve">on </w:t>
      </w:r>
      <w:r w:rsidR="00CE43A7" w:rsidRPr="00251E74">
        <w:rPr>
          <w:rFonts w:ascii="Calibri Light" w:hAnsi="Calibri Light" w:cs="Calibri Light"/>
          <w:i/>
          <w:iCs/>
          <w:kern w:val="0"/>
          <w14:ligatures w14:val="none"/>
        </w:rPr>
        <w:t xml:space="preserve">the </w:t>
      </w:r>
      <w:r w:rsidRPr="00251E74">
        <w:rPr>
          <w:rFonts w:ascii="Calibri Light" w:hAnsi="Calibri Light" w:cs="Calibri Light"/>
          <w:i/>
          <w:iCs/>
          <w:kern w:val="0"/>
          <w14:ligatures w14:val="none"/>
        </w:rPr>
        <w:t xml:space="preserve">number of faculty but </w:t>
      </w:r>
      <w:r w:rsidR="00CE43A7" w:rsidRPr="00251E74">
        <w:rPr>
          <w:rFonts w:ascii="Calibri Light" w:hAnsi="Calibri Light" w:cs="Calibri Light"/>
          <w:i/>
          <w:iCs/>
          <w:kern w:val="0"/>
          <w14:ligatures w14:val="none"/>
        </w:rPr>
        <w:t xml:space="preserve">to factor in the </w:t>
      </w:r>
      <w:r w:rsidRPr="00251E74">
        <w:rPr>
          <w:rFonts w:ascii="Calibri Light" w:hAnsi="Calibri Light" w:cs="Calibri Light"/>
          <w:i/>
          <w:iCs/>
          <w:kern w:val="0"/>
          <w14:ligatures w14:val="none"/>
        </w:rPr>
        <w:t xml:space="preserve">number of employees engaged in the “primary academic work of the System” </w:t>
      </w:r>
      <w:r w:rsidRPr="00251E74">
        <w:rPr>
          <w:rFonts w:ascii="Calibri Light" w:hAnsi="Calibri Light" w:cs="Calibri Light"/>
          <w:kern w:val="0"/>
          <w14:ligatures w14:val="none"/>
        </w:rPr>
        <w:t>as defined in the Preamble</w:t>
      </w:r>
      <w:r w:rsidR="00CE43A7" w:rsidRPr="00251E74">
        <w:rPr>
          <w:rFonts w:ascii="Calibri Light" w:hAnsi="Calibri Light" w:cs="Calibri Light"/>
          <w:kern w:val="0"/>
          <w14:ligatures w14:val="none"/>
        </w:rPr>
        <w:t xml:space="preserve">, thus encompassing </w:t>
      </w:r>
      <w:r w:rsidRPr="00251E74">
        <w:rPr>
          <w:rFonts w:ascii="Calibri Light" w:hAnsi="Calibri Light" w:cs="Calibri Light"/>
          <w:kern w:val="0"/>
          <w14:ligatures w14:val="none"/>
        </w:rPr>
        <w:t>both faculty and staff, and potentially increas</w:t>
      </w:r>
      <w:r w:rsidR="00CE43A7" w:rsidRPr="00251E74">
        <w:rPr>
          <w:rFonts w:ascii="Calibri Light" w:hAnsi="Calibri Light" w:cs="Calibri Light"/>
          <w:kern w:val="0"/>
          <w14:ligatures w14:val="none"/>
        </w:rPr>
        <w:t xml:space="preserve">ing </w:t>
      </w:r>
      <w:r w:rsidRPr="00251E74">
        <w:rPr>
          <w:rFonts w:ascii="Calibri Light" w:hAnsi="Calibri Light" w:cs="Calibri Light"/>
          <w:kern w:val="0"/>
          <w14:ligatures w14:val="none"/>
        </w:rPr>
        <w:t xml:space="preserve">diversity and representation on the USC. </w:t>
      </w:r>
    </w:p>
    <w:p w14:paraId="328BC61C" w14:textId="77777777" w:rsidR="00251E74" w:rsidRPr="00251E74" w:rsidRDefault="00251E74" w:rsidP="00C9639E">
      <w:pPr>
        <w:spacing w:after="0" w:line="276" w:lineRule="auto"/>
        <w:contextualSpacing/>
        <w:rPr>
          <w:rFonts w:ascii="Calibri Light" w:hAnsi="Calibri Light" w:cs="Calibri Light"/>
          <w:kern w:val="0"/>
          <w14:ligatures w14:val="none"/>
        </w:rPr>
      </w:pPr>
    </w:p>
    <w:p w14:paraId="0CF673D9" w14:textId="77777777" w:rsidR="00C4147C" w:rsidRPr="00251E74" w:rsidRDefault="00C4147C" w:rsidP="00C9639E">
      <w:pPr>
        <w:spacing w:after="0" w:line="276" w:lineRule="auto"/>
        <w:rPr>
          <w:rFonts w:ascii="Calibri Light" w:hAnsi="Calibri Light" w:cs="Calibri Light"/>
          <w:b/>
          <w:bCs/>
          <w:color w:val="3A7C22" w:themeColor="accent6" w:themeShade="BF"/>
          <w:kern w:val="0"/>
          <w14:ligatures w14:val="none"/>
        </w:rPr>
      </w:pPr>
    </w:p>
    <w:p w14:paraId="65C6FDF5" w14:textId="77777777" w:rsidR="00C4147C" w:rsidRPr="00251E74" w:rsidRDefault="00C4147C" w:rsidP="00C9639E">
      <w:pPr>
        <w:spacing w:after="0" w:line="276" w:lineRule="auto"/>
        <w:rPr>
          <w:rFonts w:ascii="Calibri Light" w:hAnsi="Calibri Light" w:cs="Calibri Light"/>
          <w:i/>
          <w:iCs/>
          <w:kern w:val="0"/>
          <w14:ligatures w14:val="none"/>
        </w:rPr>
      </w:pPr>
      <w:r w:rsidRPr="00251E74">
        <w:rPr>
          <w:rFonts w:ascii="Calibri Light" w:hAnsi="Calibri Light" w:cs="Calibri Light"/>
          <w:i/>
          <w:iCs/>
          <w:kern w:val="0"/>
          <w14:ligatures w14:val="none"/>
        </w:rPr>
        <w:lastRenderedPageBreak/>
        <w:t>New Section 8. Visiting Faculty and Visiting Academic Professionals</w:t>
      </w:r>
    </w:p>
    <w:p w14:paraId="31454C7F" w14:textId="2DC2B28F" w:rsidR="00C4147C" w:rsidRPr="00251E74" w:rsidRDefault="00E62348" w:rsidP="00C9639E">
      <w:pPr>
        <w:spacing w:after="0" w:line="276" w:lineRule="auto"/>
        <w:rPr>
          <w:rFonts w:ascii="Calibri Light" w:hAnsi="Calibri Light" w:cs="Calibri Light"/>
          <w:kern w:val="0"/>
          <w14:ligatures w14:val="none"/>
        </w:rPr>
      </w:pPr>
      <w:r w:rsidRPr="00251E74">
        <w:rPr>
          <w:rFonts w:ascii="Calibri Light" w:hAnsi="Calibri Light" w:cs="Calibri Light"/>
          <w:b/>
          <w:bCs/>
          <w:kern w:val="0"/>
          <w14:ligatures w14:val="none"/>
        </w:rPr>
        <w:t xml:space="preserve">Modified </w:t>
      </w:r>
      <w:r w:rsidR="00C4147C" w:rsidRPr="00251E74">
        <w:rPr>
          <w:rFonts w:ascii="Calibri Light" w:hAnsi="Calibri Light" w:cs="Calibri Light"/>
          <w:b/>
          <w:bCs/>
          <w:kern w:val="0"/>
          <w14:ligatures w14:val="none"/>
        </w:rPr>
        <w:t>Article II, Section 8</w:t>
      </w:r>
      <w:r w:rsidR="00C4147C" w:rsidRPr="00251E74">
        <w:rPr>
          <w:rFonts w:ascii="Calibri Light" w:hAnsi="Calibri Light" w:cs="Calibri Light"/>
          <w:kern w:val="0"/>
          <w14:ligatures w14:val="none"/>
        </w:rPr>
        <w:t xml:space="preserve"> </w:t>
      </w:r>
      <w:r w:rsidR="0079032A" w:rsidRPr="00251E74">
        <w:rPr>
          <w:rFonts w:ascii="Calibri Light" w:hAnsi="Calibri Light" w:cs="Calibri Light"/>
          <w:kern w:val="0"/>
          <w14:ligatures w14:val="none"/>
        </w:rPr>
        <w:t xml:space="preserve"> is confusing as written. PRI recommends that Line 553 be modified as follows, for clarity:</w:t>
      </w:r>
      <w:r w:rsidR="00BA1010" w:rsidRPr="00251E74">
        <w:rPr>
          <w:rFonts w:ascii="Calibri Light" w:hAnsi="Calibri Light" w:cs="Calibri Light"/>
          <w:kern w:val="0"/>
          <w14:ligatures w14:val="none"/>
        </w:rPr>
        <w:t xml:space="preserve"> “The modifier “visiting” may be applied to faculty or </w:t>
      </w:r>
      <w:r w:rsidR="00BA1010" w:rsidRPr="00251E74">
        <w:rPr>
          <w:rFonts w:ascii="Calibri Light" w:hAnsi="Calibri Light" w:cs="Calibri Light"/>
          <w:kern w:val="0"/>
          <w:u w:val="single"/>
          <w14:ligatures w14:val="none"/>
        </w:rPr>
        <w:t>academic professional</w:t>
      </w:r>
      <w:r w:rsidR="00BA1010" w:rsidRPr="00251E74">
        <w:rPr>
          <w:rFonts w:ascii="Calibri Light" w:hAnsi="Calibri Light" w:cs="Calibri Light"/>
          <w:kern w:val="0"/>
          <w14:ligatures w14:val="none"/>
        </w:rPr>
        <w:t xml:space="preserve"> staff positions in three ways.” </w:t>
      </w:r>
      <w:r w:rsidR="00BA1010" w:rsidRPr="00A67197">
        <w:rPr>
          <w:rFonts w:ascii="Calibri Light" w:hAnsi="Calibri Light" w:cs="Calibri Light"/>
          <w:b/>
          <w:bCs/>
          <w:kern w:val="0"/>
          <w14:ligatures w14:val="none"/>
        </w:rPr>
        <w:t>PRI has an additional concern related to Section 8</w:t>
      </w:r>
      <w:r w:rsidR="00BA1010" w:rsidRPr="00251E74">
        <w:rPr>
          <w:rFonts w:ascii="Calibri Light" w:hAnsi="Calibri Light" w:cs="Calibri Light"/>
          <w:kern w:val="0"/>
          <w14:ligatures w14:val="none"/>
        </w:rPr>
        <w:t xml:space="preserve">: </w:t>
      </w:r>
      <w:r w:rsidR="00C4147C" w:rsidRPr="00251E74">
        <w:rPr>
          <w:rFonts w:ascii="Calibri Light" w:hAnsi="Calibri Light" w:cs="Calibri Light"/>
          <w:kern w:val="0"/>
          <w14:ligatures w14:val="none"/>
        </w:rPr>
        <w:t xml:space="preserve">units like PRI that do not employ tenured faculty cannot grant limited governance to </w:t>
      </w:r>
      <w:r w:rsidR="00221C98" w:rsidRPr="00251E74">
        <w:rPr>
          <w:rFonts w:ascii="Calibri Light" w:hAnsi="Calibri Light" w:cs="Calibri Light"/>
          <w:kern w:val="0"/>
          <w14:ligatures w14:val="none"/>
        </w:rPr>
        <w:t xml:space="preserve">visiting </w:t>
      </w:r>
      <w:r w:rsidR="00C4147C" w:rsidRPr="00251E74">
        <w:rPr>
          <w:rFonts w:ascii="Calibri Light" w:hAnsi="Calibri Light" w:cs="Calibri Light"/>
          <w:kern w:val="0"/>
          <w14:ligatures w14:val="none"/>
        </w:rPr>
        <w:t xml:space="preserve">faculty or </w:t>
      </w:r>
      <w:r w:rsidR="00221C98" w:rsidRPr="00251E74">
        <w:rPr>
          <w:rFonts w:ascii="Calibri Light" w:hAnsi="Calibri Light" w:cs="Calibri Light"/>
          <w:kern w:val="0"/>
          <w14:ligatures w14:val="none"/>
        </w:rPr>
        <w:t xml:space="preserve">visiting </w:t>
      </w:r>
      <w:r w:rsidR="00C4147C" w:rsidRPr="00251E74">
        <w:rPr>
          <w:rFonts w:ascii="Calibri Light" w:hAnsi="Calibri Light" w:cs="Calibri Light"/>
          <w:kern w:val="0"/>
          <w14:ligatures w14:val="none"/>
        </w:rPr>
        <w:t xml:space="preserve">academic professionals </w:t>
      </w:r>
      <w:r w:rsidR="00221C98" w:rsidRPr="00251E74">
        <w:rPr>
          <w:rFonts w:ascii="Calibri Light" w:hAnsi="Calibri Light" w:cs="Calibri Light"/>
          <w:kern w:val="0"/>
          <w14:ligatures w14:val="none"/>
        </w:rPr>
        <w:t>who are hired by PRI</w:t>
      </w:r>
      <w:r w:rsidR="003D6018">
        <w:rPr>
          <w:rFonts w:ascii="Calibri Light" w:hAnsi="Calibri Light" w:cs="Calibri Light"/>
          <w:kern w:val="0"/>
          <w14:ligatures w14:val="none"/>
        </w:rPr>
        <w:t xml:space="preserve"> (as per Article II, Section 4.b. only </w:t>
      </w:r>
      <w:r w:rsidR="00C4147C" w:rsidRPr="00251E74">
        <w:rPr>
          <w:rFonts w:ascii="Calibri Light" w:hAnsi="Calibri Light" w:cs="Calibri Light"/>
          <w:kern w:val="0"/>
          <w14:ligatures w14:val="none"/>
        </w:rPr>
        <w:t xml:space="preserve">tenured faculty have </w:t>
      </w:r>
      <w:r w:rsidR="008B18B0" w:rsidRPr="00251E74">
        <w:rPr>
          <w:rFonts w:ascii="Calibri Light" w:hAnsi="Calibri Light" w:cs="Calibri Light"/>
          <w:kern w:val="0"/>
          <w14:ligatures w14:val="none"/>
        </w:rPr>
        <w:t>th</w:t>
      </w:r>
      <w:r w:rsidR="003D6018">
        <w:rPr>
          <w:rFonts w:ascii="Calibri Light" w:hAnsi="Calibri Light" w:cs="Calibri Light"/>
          <w:kern w:val="0"/>
          <w14:ligatures w14:val="none"/>
        </w:rPr>
        <w:t xml:space="preserve">at right). </w:t>
      </w:r>
      <w:r w:rsidR="008B18B0" w:rsidRPr="00251E74">
        <w:rPr>
          <w:rFonts w:ascii="Calibri Light" w:hAnsi="Calibri Light" w:cs="Calibri Light"/>
          <w:kern w:val="0"/>
          <w14:ligatures w14:val="none"/>
        </w:rPr>
        <w:t xml:space="preserve">This could potentially create disparities between </w:t>
      </w:r>
      <w:r w:rsidR="00C4147C" w:rsidRPr="00251E74">
        <w:rPr>
          <w:rFonts w:ascii="Calibri Light" w:hAnsi="Calibri Light" w:cs="Calibri Light"/>
          <w:kern w:val="0"/>
          <w14:ligatures w14:val="none"/>
        </w:rPr>
        <w:t>colleges and units with tenured faculty who can extend this limited governance privilege, and those, like PRI who do not have tenured faculty and cannot extend the privilege</w:t>
      </w:r>
      <w:r w:rsidR="008B18B0" w:rsidRPr="00251E74">
        <w:rPr>
          <w:rFonts w:ascii="Calibri Light" w:hAnsi="Calibri Light" w:cs="Calibri Light"/>
          <w:kern w:val="0"/>
          <w14:ligatures w14:val="none"/>
        </w:rPr>
        <w:t xml:space="preserve"> to their visiting faculty or visiting academic professionals</w:t>
      </w:r>
      <w:r w:rsidR="00C4147C" w:rsidRPr="00251E74">
        <w:rPr>
          <w:rFonts w:ascii="Calibri Light" w:hAnsi="Calibri Light" w:cs="Calibri Light"/>
          <w:kern w:val="0"/>
          <w14:ligatures w14:val="none"/>
        </w:rPr>
        <w:t xml:space="preserve">. </w:t>
      </w:r>
    </w:p>
    <w:p w14:paraId="4A9462B4" w14:textId="77777777" w:rsidR="00C4147C" w:rsidRPr="00251E74" w:rsidRDefault="00C4147C" w:rsidP="00C9639E">
      <w:pPr>
        <w:spacing w:after="0" w:line="276" w:lineRule="auto"/>
        <w:rPr>
          <w:rFonts w:ascii="Calibri Light" w:hAnsi="Calibri Light" w:cs="Calibri Light"/>
          <w:color w:val="3A7C22" w:themeColor="accent6" w:themeShade="BF"/>
          <w:kern w:val="0"/>
          <w14:ligatures w14:val="none"/>
        </w:rPr>
      </w:pPr>
    </w:p>
    <w:p w14:paraId="399B6091" w14:textId="77777777" w:rsidR="00C4147C" w:rsidRPr="00251E74" w:rsidRDefault="00C4147C" w:rsidP="00C9639E">
      <w:pPr>
        <w:spacing w:after="0" w:line="276" w:lineRule="auto"/>
        <w:rPr>
          <w:rFonts w:ascii="Calibri Light" w:hAnsi="Calibri Light" w:cs="Calibri Light"/>
          <w:color w:val="3A7C22" w:themeColor="accent6" w:themeShade="BF"/>
          <w:kern w:val="0"/>
          <w14:ligatures w14:val="none"/>
        </w:rPr>
      </w:pPr>
    </w:p>
    <w:p w14:paraId="4C16FD2A" w14:textId="136DF3B5" w:rsidR="00507D81" w:rsidRPr="00251E74" w:rsidRDefault="00C362C5" w:rsidP="00C9639E">
      <w:pPr>
        <w:spacing w:after="0" w:line="276" w:lineRule="auto"/>
        <w:rPr>
          <w:rFonts w:ascii="Calibri Light" w:hAnsi="Calibri Light" w:cs="Calibri Light"/>
          <w:i/>
          <w:iCs/>
          <w:kern w:val="0"/>
          <w14:ligatures w14:val="none"/>
        </w:rPr>
      </w:pPr>
      <w:r w:rsidRPr="00251E74">
        <w:rPr>
          <w:rFonts w:ascii="Calibri Light" w:hAnsi="Calibri Light" w:cs="Calibri Light"/>
          <w:i/>
          <w:iCs/>
          <w:kern w:val="0"/>
        </w:rPr>
        <w:t xml:space="preserve">ARTICLE III </w:t>
      </w:r>
      <w:r w:rsidR="00C4147C" w:rsidRPr="00251E74">
        <w:rPr>
          <w:rFonts w:ascii="Calibri Light" w:hAnsi="Calibri Light" w:cs="Calibri Light"/>
          <w:i/>
          <w:iCs/>
          <w:kern w:val="0"/>
          <w14:ligatures w14:val="none"/>
        </w:rPr>
        <w:t>–</w:t>
      </w:r>
      <w:r w:rsidRPr="00251E74">
        <w:rPr>
          <w:rFonts w:ascii="Calibri Light" w:hAnsi="Calibri Light" w:cs="Calibri Light"/>
          <w:i/>
          <w:iCs/>
          <w:kern w:val="0"/>
          <w14:ligatures w14:val="none"/>
        </w:rPr>
        <w:t xml:space="preserve"> </w:t>
      </w:r>
      <w:r w:rsidR="00C4147C" w:rsidRPr="00251E74">
        <w:rPr>
          <w:rFonts w:ascii="Calibri Light" w:hAnsi="Calibri Light" w:cs="Calibri Light"/>
          <w:i/>
          <w:iCs/>
          <w:kern w:val="0"/>
          <w14:ligatures w14:val="none"/>
        </w:rPr>
        <w:t xml:space="preserve">UNIVERSITIES, COLLEGES, AND SIMILAR UNIVERSITY UNITS  </w:t>
      </w:r>
    </w:p>
    <w:p w14:paraId="70F1239E" w14:textId="77777777" w:rsidR="00251E74" w:rsidRPr="00251E74" w:rsidRDefault="000E02F0" w:rsidP="00251E74">
      <w:pPr>
        <w:spacing w:after="0" w:line="276" w:lineRule="auto"/>
        <w:rPr>
          <w:rStyle w:val="cf01"/>
          <w:rFonts w:ascii="Calibri Light" w:eastAsiaTheme="majorEastAsia" w:hAnsi="Calibri Light" w:cs="Calibri Light"/>
          <w:b w:val="0"/>
          <w:bCs w:val="0"/>
          <w:i/>
          <w:iCs/>
          <w:sz w:val="22"/>
          <w:szCs w:val="22"/>
        </w:rPr>
      </w:pPr>
      <w:r w:rsidRPr="00251E74">
        <w:rPr>
          <w:rStyle w:val="cf01"/>
          <w:rFonts w:ascii="Calibri Light" w:eastAsiaTheme="majorEastAsia" w:hAnsi="Calibri Light" w:cs="Calibri Light"/>
          <w:b w:val="0"/>
          <w:bCs w:val="0"/>
          <w:i/>
          <w:iCs/>
          <w:sz w:val="22"/>
          <w:szCs w:val="22"/>
        </w:rPr>
        <w:t>Section 3. The Dean</w:t>
      </w:r>
    </w:p>
    <w:p w14:paraId="2817E2AD" w14:textId="330AADE3" w:rsidR="000E02F0" w:rsidRPr="00251E74" w:rsidRDefault="000E02F0" w:rsidP="00251E74">
      <w:pPr>
        <w:spacing w:after="0" w:line="276" w:lineRule="auto"/>
        <w:rPr>
          <w:rFonts w:ascii="Calibri Light" w:hAnsi="Calibri Light" w:cs="Calibri Light"/>
        </w:rPr>
      </w:pPr>
      <w:r w:rsidRPr="00251E74">
        <w:rPr>
          <w:rStyle w:val="cf11"/>
          <w:rFonts w:ascii="Calibri Light" w:eastAsiaTheme="majorEastAsia" w:hAnsi="Calibri Light" w:cs="Calibri Light"/>
          <w:b/>
          <w:bCs/>
          <w:sz w:val="22"/>
          <w:szCs w:val="22"/>
        </w:rPr>
        <w:t>Article III, Section 3.d</w:t>
      </w:r>
      <w:r w:rsidRPr="00251E74">
        <w:rPr>
          <w:rStyle w:val="cf11"/>
          <w:rFonts w:ascii="Calibri Light" w:eastAsiaTheme="majorEastAsia" w:hAnsi="Calibri Light" w:cs="Calibri Light"/>
          <w:sz w:val="22"/>
          <w:szCs w:val="22"/>
        </w:rPr>
        <w:t xml:space="preserve"> </w:t>
      </w:r>
      <w:r w:rsidR="007400B3" w:rsidRPr="00251E74">
        <w:rPr>
          <w:rStyle w:val="cf11"/>
          <w:rFonts w:ascii="Calibri Light" w:eastAsiaTheme="majorEastAsia" w:hAnsi="Calibri Light" w:cs="Calibri Light"/>
          <w:sz w:val="22"/>
          <w:szCs w:val="22"/>
        </w:rPr>
        <w:t xml:space="preserve">(Line 685 and Line 689) replaces </w:t>
      </w:r>
      <w:r w:rsidRPr="00251E74">
        <w:rPr>
          <w:rStyle w:val="cf11"/>
          <w:rFonts w:ascii="Calibri Light" w:eastAsiaTheme="majorEastAsia" w:hAnsi="Calibri Light" w:cs="Calibri Light"/>
          <w:sz w:val="22"/>
          <w:szCs w:val="22"/>
        </w:rPr>
        <w:t xml:space="preserve">the term "academic staff" with "faculty and staff.” </w:t>
      </w:r>
      <w:r w:rsidRPr="00251E74">
        <w:rPr>
          <w:rStyle w:val="cf01"/>
          <w:rFonts w:ascii="Calibri Light" w:eastAsiaTheme="majorEastAsia" w:hAnsi="Calibri Light" w:cs="Calibri Light"/>
          <w:b w:val="0"/>
          <w:bCs w:val="0"/>
          <w:sz w:val="22"/>
          <w:szCs w:val="22"/>
        </w:rPr>
        <w:t xml:space="preserve">The replacement </w:t>
      </w:r>
      <w:r w:rsidR="00437D89" w:rsidRPr="00251E74">
        <w:rPr>
          <w:rStyle w:val="cf01"/>
          <w:rFonts w:ascii="Calibri Light" w:eastAsiaTheme="majorEastAsia" w:hAnsi="Calibri Light" w:cs="Calibri Light"/>
          <w:b w:val="0"/>
          <w:bCs w:val="0"/>
          <w:sz w:val="22"/>
          <w:szCs w:val="22"/>
        </w:rPr>
        <w:t xml:space="preserve">does not alter the continued inclusion of </w:t>
      </w:r>
      <w:r w:rsidRPr="00251E74">
        <w:rPr>
          <w:rStyle w:val="cf01"/>
          <w:rFonts w:ascii="Calibri Light" w:eastAsiaTheme="majorEastAsia" w:hAnsi="Calibri Light" w:cs="Calibri Light"/>
          <w:b w:val="0"/>
          <w:bCs w:val="0"/>
          <w:sz w:val="22"/>
          <w:szCs w:val="22"/>
        </w:rPr>
        <w:t>the same people who were covered as "academic staff" in the original Statutes, Article IX, Section 4.a and 3.c.</w:t>
      </w:r>
      <w:r w:rsidRPr="00251E74">
        <w:rPr>
          <w:rStyle w:val="cf01"/>
          <w:rFonts w:ascii="Calibri Light" w:eastAsiaTheme="majorEastAsia" w:hAnsi="Calibri Light" w:cs="Calibri Light"/>
          <w:sz w:val="22"/>
          <w:szCs w:val="22"/>
        </w:rPr>
        <w:t xml:space="preserve"> </w:t>
      </w:r>
      <w:r w:rsidRPr="00251E74">
        <w:rPr>
          <w:rStyle w:val="cf11"/>
          <w:rFonts w:ascii="Calibri Light" w:eastAsiaTheme="majorEastAsia" w:hAnsi="Calibri Light" w:cs="Calibri Light"/>
          <w:sz w:val="22"/>
          <w:szCs w:val="22"/>
        </w:rPr>
        <w:t>The USC’s combined definition of "faculty and staff" includes: tenure system faculty, emeritus faculty, non-tenure system faculty (which includes clinical, research, and teaching associates), postdoctoral research associates (Article II, Section 1), state university civil service system (SUCSS) staff, and all other university employees exempted from SUCSS (Article II, Section 6).</w:t>
      </w:r>
      <w:r w:rsidR="00437D89" w:rsidRPr="00251E74">
        <w:rPr>
          <w:rStyle w:val="cf11"/>
          <w:rFonts w:ascii="Calibri Light" w:eastAsiaTheme="majorEastAsia" w:hAnsi="Calibri Light" w:cs="Calibri Light"/>
          <w:sz w:val="22"/>
          <w:szCs w:val="22"/>
        </w:rPr>
        <w:t xml:space="preserve"> </w:t>
      </w:r>
      <w:r w:rsidR="00076A44">
        <w:rPr>
          <w:rStyle w:val="cf11"/>
          <w:rFonts w:ascii="Calibri Light" w:eastAsiaTheme="majorEastAsia" w:hAnsi="Calibri Light" w:cs="Calibri Light"/>
          <w:sz w:val="22"/>
          <w:szCs w:val="22"/>
        </w:rPr>
        <w:t>This is a  good clarification</w:t>
      </w:r>
      <w:r w:rsidR="00437D89" w:rsidRPr="00251E74">
        <w:rPr>
          <w:rStyle w:val="cf11"/>
          <w:rFonts w:ascii="Calibri Light" w:eastAsiaTheme="majorEastAsia" w:hAnsi="Calibri Light" w:cs="Calibri Light"/>
          <w:sz w:val="22"/>
          <w:szCs w:val="22"/>
        </w:rPr>
        <w:t>/addition.</w:t>
      </w:r>
    </w:p>
    <w:p w14:paraId="1DDD0B82" w14:textId="77777777" w:rsidR="00C4147C" w:rsidRPr="00251E74" w:rsidRDefault="00C4147C" w:rsidP="00C9639E">
      <w:pPr>
        <w:spacing w:after="0" w:line="276" w:lineRule="auto"/>
        <w:rPr>
          <w:rFonts w:ascii="Calibri Light" w:hAnsi="Calibri Light" w:cs="Calibri Light"/>
          <w:b/>
          <w:bCs/>
          <w:color w:val="3A7C22" w:themeColor="accent6" w:themeShade="BF"/>
          <w:kern w:val="0"/>
          <w14:ligatures w14:val="none"/>
        </w:rPr>
      </w:pPr>
    </w:p>
    <w:p w14:paraId="10FEA88B" w14:textId="26772B4C" w:rsidR="00C4147C" w:rsidRPr="00251E74" w:rsidRDefault="00C362C5" w:rsidP="00C9639E">
      <w:pPr>
        <w:spacing w:after="0" w:line="276" w:lineRule="auto"/>
        <w:rPr>
          <w:rFonts w:ascii="Calibri Light" w:hAnsi="Calibri Light" w:cs="Calibri Light"/>
          <w:i/>
          <w:iCs/>
          <w:kern w:val="0"/>
        </w:rPr>
      </w:pPr>
      <w:r w:rsidRPr="00251E74">
        <w:rPr>
          <w:rFonts w:ascii="Calibri Light" w:hAnsi="Calibri Light" w:cs="Calibri Light"/>
          <w:i/>
          <w:iCs/>
          <w:kern w:val="0"/>
        </w:rPr>
        <w:t xml:space="preserve">ARTICLE </w:t>
      </w:r>
      <w:r w:rsidR="00C4147C" w:rsidRPr="00251E74">
        <w:rPr>
          <w:rFonts w:ascii="Calibri Light" w:hAnsi="Calibri Light" w:cs="Calibri Light"/>
          <w:i/>
          <w:iCs/>
          <w:kern w:val="0"/>
        </w:rPr>
        <w:t>IV – DEPARTMENTS</w:t>
      </w:r>
    </w:p>
    <w:p w14:paraId="2110E464" w14:textId="622F9822" w:rsidR="00C4147C" w:rsidRPr="00251E74" w:rsidRDefault="006A4AF0" w:rsidP="00C9639E">
      <w:pPr>
        <w:spacing w:after="0" w:line="276" w:lineRule="auto"/>
        <w:rPr>
          <w:rFonts w:ascii="Calibri Light" w:hAnsi="Calibri Light" w:cs="Calibri Light"/>
          <w:kern w:val="0"/>
        </w:rPr>
      </w:pPr>
      <w:r w:rsidRPr="00251E74">
        <w:rPr>
          <w:rFonts w:ascii="Calibri Light" w:hAnsi="Calibri Light" w:cs="Calibri Light"/>
          <w:b/>
          <w:bCs/>
          <w:kern w:val="0"/>
        </w:rPr>
        <w:t>Article IV, Section 1.a</w:t>
      </w:r>
      <w:r w:rsidRPr="00251E74">
        <w:rPr>
          <w:rFonts w:ascii="Calibri Light" w:hAnsi="Calibri Light" w:cs="Calibri Light"/>
          <w:kern w:val="0"/>
        </w:rPr>
        <w:t xml:space="preserve"> (Lines 803 through 805) could be written more clearly: "A department includes all faculty (as defined in Article II, Section 1.a and 1.d) and staff (as defined in Article II, Section 6) who upon the recommendation of its head or chair are appointed or assigned to it."</w:t>
      </w:r>
    </w:p>
    <w:p w14:paraId="384AD0F9" w14:textId="77777777" w:rsidR="00251E74" w:rsidRPr="00251E74" w:rsidRDefault="00251E74" w:rsidP="00C9639E">
      <w:pPr>
        <w:spacing w:after="0" w:line="276" w:lineRule="auto"/>
        <w:rPr>
          <w:rFonts w:ascii="Calibri Light" w:hAnsi="Calibri Light" w:cs="Calibri Light"/>
          <w:i/>
          <w:iCs/>
          <w:kern w:val="0"/>
        </w:rPr>
      </w:pPr>
    </w:p>
    <w:p w14:paraId="20169D48" w14:textId="6DF0571C" w:rsidR="00C4147C" w:rsidRPr="00251E74" w:rsidRDefault="00C362C5" w:rsidP="00C9639E">
      <w:pPr>
        <w:spacing w:after="0" w:line="276" w:lineRule="auto"/>
        <w:rPr>
          <w:rFonts w:ascii="Calibri Light" w:hAnsi="Calibri Light" w:cs="Calibri Light"/>
          <w:i/>
          <w:iCs/>
          <w:kern w:val="0"/>
        </w:rPr>
      </w:pPr>
      <w:r w:rsidRPr="00251E74">
        <w:rPr>
          <w:rFonts w:ascii="Calibri Light" w:hAnsi="Calibri Light" w:cs="Calibri Light"/>
          <w:i/>
          <w:iCs/>
          <w:kern w:val="0"/>
        </w:rPr>
        <w:t xml:space="preserve">ARTICLE </w:t>
      </w:r>
      <w:r w:rsidR="00C4147C" w:rsidRPr="00251E74">
        <w:rPr>
          <w:rFonts w:ascii="Calibri Light" w:hAnsi="Calibri Light" w:cs="Calibri Light"/>
          <w:i/>
          <w:iCs/>
          <w:kern w:val="0"/>
        </w:rPr>
        <w:t>V – GRADUATE COLLEGES</w:t>
      </w:r>
    </w:p>
    <w:p w14:paraId="1E9C9B8A" w14:textId="03635919" w:rsidR="00C4147C" w:rsidRPr="00251E74" w:rsidRDefault="00137966" w:rsidP="00C9639E">
      <w:pPr>
        <w:spacing w:after="0" w:line="276" w:lineRule="auto"/>
        <w:contextualSpacing/>
        <w:rPr>
          <w:rFonts w:ascii="Calibri Light" w:hAnsi="Calibri Light" w:cs="Calibri Light"/>
          <w:kern w:val="0"/>
        </w:rPr>
      </w:pPr>
      <w:r w:rsidRPr="00251E74">
        <w:rPr>
          <w:rFonts w:ascii="Calibri Light" w:hAnsi="Calibri Light" w:cs="Calibri Light"/>
          <w:b/>
          <w:bCs/>
          <w:kern w:val="0"/>
        </w:rPr>
        <w:t>Article V, Section 1.g.</w:t>
      </w:r>
      <w:r w:rsidRPr="00251E74">
        <w:rPr>
          <w:rFonts w:ascii="Calibri Light" w:hAnsi="Calibri Light" w:cs="Calibri Light"/>
          <w:kern w:val="0"/>
        </w:rPr>
        <w:t xml:space="preserve"> </w:t>
      </w:r>
      <w:r w:rsidR="00F53E12" w:rsidRPr="00251E74">
        <w:rPr>
          <w:rFonts w:ascii="Calibri Light" w:hAnsi="Calibri Light" w:cs="Calibri Light"/>
          <w:kern w:val="0"/>
        </w:rPr>
        <w:t xml:space="preserve">(Line 996) </w:t>
      </w:r>
      <w:r w:rsidR="00C4147C" w:rsidRPr="00251E74">
        <w:rPr>
          <w:rFonts w:ascii="Calibri Light" w:hAnsi="Calibri Light" w:cs="Calibri Light"/>
          <w:i/>
          <w:iCs/>
          <w:kern w:val="0"/>
        </w:rPr>
        <w:t>If USC wants graduate deans</w:t>
      </w:r>
      <w:r w:rsidR="00C4147C" w:rsidRPr="00251E74">
        <w:rPr>
          <w:rFonts w:ascii="Calibri Light" w:hAnsi="Calibri Light" w:cs="Calibri Light"/>
          <w:kern w:val="0"/>
        </w:rPr>
        <w:t xml:space="preserve"> to be able to recommend appointments and promotions for </w:t>
      </w:r>
      <w:r w:rsidR="00C4147C" w:rsidRPr="00251E74">
        <w:rPr>
          <w:rFonts w:ascii="Calibri Light" w:hAnsi="Calibri Light" w:cs="Calibri Light"/>
          <w:i/>
          <w:iCs/>
          <w:kern w:val="0"/>
        </w:rPr>
        <w:t>faculty as well as staff</w:t>
      </w:r>
      <w:r w:rsidR="00C4147C" w:rsidRPr="00251E74">
        <w:rPr>
          <w:rFonts w:ascii="Calibri Light" w:hAnsi="Calibri Light" w:cs="Calibri Light"/>
          <w:kern w:val="0"/>
        </w:rPr>
        <w:t xml:space="preserve"> then the term “staff” should be replaced with the term “faculty and staff” in </w:t>
      </w:r>
      <w:r w:rsidRPr="00251E74">
        <w:rPr>
          <w:rFonts w:ascii="Calibri Light" w:hAnsi="Calibri Light" w:cs="Calibri Light"/>
          <w:kern w:val="0"/>
        </w:rPr>
        <w:t>Section 1.g</w:t>
      </w:r>
      <w:r w:rsidR="00931DFE" w:rsidRPr="00251E74">
        <w:rPr>
          <w:rFonts w:ascii="Calibri Light" w:hAnsi="Calibri Light" w:cs="Calibri Light"/>
          <w:kern w:val="0"/>
        </w:rPr>
        <w:t xml:space="preserve">. </w:t>
      </w:r>
      <w:r w:rsidR="00250D2E">
        <w:rPr>
          <w:rFonts w:ascii="Calibri Light" w:hAnsi="Calibri Light" w:cs="Calibri Light"/>
          <w:kern w:val="0"/>
        </w:rPr>
        <w:t xml:space="preserve">as the </w:t>
      </w:r>
      <w:r w:rsidR="00931DFE" w:rsidRPr="00251E74">
        <w:rPr>
          <w:rFonts w:ascii="Calibri Light" w:hAnsi="Calibri Light" w:cs="Calibri Light"/>
          <w:kern w:val="0"/>
        </w:rPr>
        <w:t>term “staff” does not include faculty (see Article II, Section 1.a.).</w:t>
      </w:r>
    </w:p>
    <w:p w14:paraId="7907C270" w14:textId="77777777" w:rsidR="00C4147C" w:rsidRPr="00251E74" w:rsidRDefault="00C4147C" w:rsidP="00C9639E">
      <w:pPr>
        <w:spacing w:after="0" w:line="276" w:lineRule="auto"/>
        <w:rPr>
          <w:rFonts w:ascii="Calibri Light" w:hAnsi="Calibri Light" w:cs="Calibri Light"/>
          <w:b/>
          <w:bCs/>
          <w:color w:val="3A7C22" w:themeColor="accent6" w:themeShade="BF"/>
          <w:kern w:val="0"/>
        </w:rPr>
      </w:pPr>
    </w:p>
    <w:p w14:paraId="3B68AC3E" w14:textId="648E0EA9" w:rsidR="00C4147C" w:rsidRPr="00251E74" w:rsidRDefault="00C362C5" w:rsidP="00C9639E">
      <w:pPr>
        <w:spacing w:after="0" w:line="276" w:lineRule="auto"/>
        <w:rPr>
          <w:rFonts w:ascii="Calibri Light" w:hAnsi="Calibri Light" w:cs="Calibri Light"/>
          <w:i/>
          <w:iCs/>
          <w:kern w:val="0"/>
        </w:rPr>
      </w:pPr>
      <w:r w:rsidRPr="00251E74">
        <w:rPr>
          <w:rFonts w:ascii="Calibri Light" w:hAnsi="Calibri Light" w:cs="Calibri Light"/>
          <w:i/>
          <w:iCs/>
          <w:kern w:val="0"/>
        </w:rPr>
        <w:t>ARTICLE</w:t>
      </w:r>
      <w:r w:rsidR="00C4147C" w:rsidRPr="00251E74">
        <w:rPr>
          <w:rFonts w:ascii="Calibri Light" w:hAnsi="Calibri Light" w:cs="Calibri Light"/>
          <w:i/>
          <w:iCs/>
          <w:kern w:val="0"/>
        </w:rPr>
        <w:t xml:space="preserve"> IX – FACULTY AND STAFF EMPLOYMENT </w:t>
      </w:r>
    </w:p>
    <w:p w14:paraId="797E1A6A" w14:textId="094373D5" w:rsidR="00C4147C" w:rsidRPr="00251E74" w:rsidRDefault="00C4147C" w:rsidP="00C9639E">
      <w:pPr>
        <w:spacing w:after="0" w:line="276" w:lineRule="auto"/>
        <w:rPr>
          <w:rFonts w:ascii="Calibri Light" w:hAnsi="Calibri Light" w:cs="Calibri Light"/>
          <w:i/>
          <w:iCs/>
          <w:kern w:val="0"/>
        </w:rPr>
      </w:pPr>
      <w:r w:rsidRPr="00251E74">
        <w:rPr>
          <w:rFonts w:ascii="Calibri Light" w:hAnsi="Calibri Light" w:cs="Calibri Light"/>
          <w:i/>
          <w:iCs/>
          <w:kern w:val="0"/>
        </w:rPr>
        <w:t>Section 1. Principles Governing Employment</w:t>
      </w:r>
    </w:p>
    <w:p w14:paraId="75C849FE" w14:textId="3BA52156" w:rsidR="00C4147C" w:rsidRPr="00251E74" w:rsidRDefault="00C4147C" w:rsidP="00C9639E">
      <w:pPr>
        <w:spacing w:after="0" w:line="276" w:lineRule="auto"/>
        <w:contextualSpacing/>
        <w:rPr>
          <w:rFonts w:ascii="Calibri Light" w:hAnsi="Calibri Light" w:cs="Calibri Light"/>
          <w:kern w:val="0"/>
        </w:rPr>
      </w:pPr>
      <w:r w:rsidRPr="00251E74">
        <w:rPr>
          <w:rFonts w:ascii="Calibri Light" w:hAnsi="Calibri Light" w:cs="Calibri Light"/>
          <w:b/>
          <w:bCs/>
          <w:kern w:val="0"/>
        </w:rPr>
        <w:t>Article IX, Section 1.b</w:t>
      </w:r>
      <w:r w:rsidRPr="00251E74">
        <w:rPr>
          <w:rFonts w:ascii="Calibri Light" w:hAnsi="Calibri Light" w:cs="Calibri Light"/>
          <w:kern w:val="0"/>
        </w:rPr>
        <w:t xml:space="preserve"> as revised could be clearer if “employees” is replaced with "University faculty and staff” which are clearly defined </w:t>
      </w:r>
      <w:r w:rsidR="00EB7460" w:rsidRPr="00251E74">
        <w:rPr>
          <w:rFonts w:ascii="Calibri Light" w:hAnsi="Calibri Light" w:cs="Calibri Light"/>
          <w:kern w:val="0"/>
        </w:rPr>
        <w:t>in</w:t>
      </w:r>
      <w:r w:rsidRPr="00251E74">
        <w:rPr>
          <w:rFonts w:ascii="Calibri Light" w:hAnsi="Calibri Light" w:cs="Calibri Light"/>
          <w:kern w:val="0"/>
        </w:rPr>
        <w:t xml:space="preserve"> the Statutes. </w:t>
      </w:r>
    </w:p>
    <w:p w14:paraId="5F1E477B" w14:textId="31662489" w:rsidR="00C4147C" w:rsidRPr="00251E74" w:rsidRDefault="00C4147C" w:rsidP="00C9639E">
      <w:pPr>
        <w:spacing w:after="0" w:line="276" w:lineRule="auto"/>
        <w:rPr>
          <w:rFonts w:ascii="Calibri Light" w:hAnsi="Calibri Light" w:cs="Calibri Light"/>
          <w:kern w:val="0"/>
        </w:rPr>
      </w:pPr>
      <w:r w:rsidRPr="00251E74">
        <w:rPr>
          <w:rFonts w:ascii="Calibri Light" w:hAnsi="Calibri Light" w:cs="Calibri Light"/>
          <w:b/>
          <w:bCs/>
          <w:kern w:val="0"/>
        </w:rPr>
        <w:t xml:space="preserve">Article IX, </w:t>
      </w:r>
      <w:r w:rsidRPr="00250D2E">
        <w:rPr>
          <w:rFonts w:ascii="Calibri Light" w:hAnsi="Calibri Light" w:cs="Calibri Light"/>
          <w:b/>
          <w:bCs/>
          <w:kern w:val="0"/>
        </w:rPr>
        <w:t>Section 1.c (1) and (2)</w:t>
      </w:r>
      <w:r w:rsidRPr="00251E74">
        <w:rPr>
          <w:rFonts w:ascii="Calibri Light" w:hAnsi="Calibri Light" w:cs="Calibri Light"/>
          <w:kern w:val="0"/>
        </w:rPr>
        <w:t xml:space="preserve"> should be made consistent with Article IX, Section 1.c (3) by replacing "person" and "individual,” respectively, with "faculty or staff."</w:t>
      </w:r>
    </w:p>
    <w:p w14:paraId="27A92608" w14:textId="77777777" w:rsidR="00C4147C" w:rsidRPr="00251E74" w:rsidRDefault="00C4147C" w:rsidP="00C9639E">
      <w:pPr>
        <w:autoSpaceDE w:val="0"/>
        <w:autoSpaceDN w:val="0"/>
        <w:adjustRightInd w:val="0"/>
        <w:spacing w:after="0" w:line="276" w:lineRule="auto"/>
        <w:rPr>
          <w:rFonts w:ascii="Calibri Light" w:hAnsi="Calibri Light" w:cs="Calibri Light"/>
          <w:color w:val="000000"/>
          <w:kern w:val="0"/>
        </w:rPr>
      </w:pPr>
    </w:p>
    <w:p w14:paraId="1F24CD69" w14:textId="77777777" w:rsidR="00C4147C" w:rsidRPr="00251E74" w:rsidRDefault="00C4147C" w:rsidP="00C9639E">
      <w:pPr>
        <w:autoSpaceDE w:val="0"/>
        <w:autoSpaceDN w:val="0"/>
        <w:adjustRightInd w:val="0"/>
        <w:spacing w:after="0" w:line="276" w:lineRule="auto"/>
        <w:rPr>
          <w:rFonts w:ascii="Calibri Light" w:hAnsi="Calibri Light" w:cs="Calibri Light"/>
          <w:i/>
          <w:iCs/>
          <w:kern w:val="0"/>
        </w:rPr>
      </w:pPr>
      <w:r w:rsidRPr="00251E74">
        <w:rPr>
          <w:rFonts w:ascii="Calibri Light" w:hAnsi="Calibri Light" w:cs="Calibri Light"/>
          <w:i/>
          <w:iCs/>
          <w:kern w:val="0"/>
        </w:rPr>
        <w:t>Section 2. Appointments, Ranks, and Promotions of Faculty and Staff</w:t>
      </w:r>
    </w:p>
    <w:p w14:paraId="0A63216E" w14:textId="1608D799" w:rsidR="008950E8" w:rsidRPr="00251E74" w:rsidRDefault="00C4147C" w:rsidP="00C9639E">
      <w:pPr>
        <w:autoSpaceDE w:val="0"/>
        <w:autoSpaceDN w:val="0"/>
        <w:adjustRightInd w:val="0"/>
        <w:spacing w:after="0" w:line="276" w:lineRule="auto"/>
        <w:contextualSpacing/>
        <w:rPr>
          <w:rFonts w:ascii="Calibri Light" w:hAnsi="Calibri Light" w:cs="Calibri Light"/>
          <w:kern w:val="0"/>
        </w:rPr>
      </w:pPr>
      <w:r w:rsidRPr="00251E74">
        <w:rPr>
          <w:rFonts w:ascii="Calibri Light" w:hAnsi="Calibri Light" w:cs="Calibri Light"/>
          <w:b/>
          <w:bCs/>
          <w:kern w:val="0"/>
        </w:rPr>
        <w:t>Article IX, Section 2.a.</w:t>
      </w:r>
      <w:r w:rsidRPr="00251E74">
        <w:rPr>
          <w:rFonts w:ascii="Calibri Light" w:hAnsi="Calibri Light" w:cs="Calibri Light"/>
          <w:kern w:val="0"/>
        </w:rPr>
        <w:t xml:space="preserve"> </w:t>
      </w:r>
      <w:r w:rsidR="00E53173" w:rsidRPr="00251E74">
        <w:rPr>
          <w:rFonts w:ascii="Calibri Light" w:hAnsi="Calibri Light" w:cs="Calibri Light"/>
          <w:kern w:val="0"/>
        </w:rPr>
        <w:t xml:space="preserve">(Line 1360) </w:t>
      </w:r>
      <w:r w:rsidRPr="00251E74">
        <w:rPr>
          <w:rFonts w:ascii="Calibri Light" w:hAnsi="Calibri Light" w:cs="Calibri Light"/>
          <w:kern w:val="0"/>
        </w:rPr>
        <w:t>removes “administrative staff” from being subject to the appointment, salary, and promotion requirements of Section 2 and makes the Section applicable to only “academic appointments</w:t>
      </w:r>
      <w:r w:rsidR="00127EB5" w:rsidRPr="00251E74">
        <w:rPr>
          <w:rFonts w:ascii="Calibri Light" w:hAnsi="Calibri Light" w:cs="Calibri Light"/>
          <w:kern w:val="0"/>
        </w:rPr>
        <w:t xml:space="preserve">.” The </w:t>
      </w:r>
      <w:r w:rsidR="00907813" w:rsidRPr="00251E74">
        <w:rPr>
          <w:rFonts w:ascii="Calibri Light" w:hAnsi="Calibri Light" w:cs="Calibri Light"/>
          <w:kern w:val="0"/>
        </w:rPr>
        <w:t>original</w:t>
      </w:r>
      <w:r w:rsidRPr="00251E74">
        <w:rPr>
          <w:rFonts w:ascii="Calibri Light" w:hAnsi="Calibri Light" w:cs="Calibri Light"/>
          <w:kern w:val="0"/>
        </w:rPr>
        <w:t xml:space="preserve"> Statutes</w:t>
      </w:r>
      <w:r w:rsidR="00907813" w:rsidRPr="00251E74">
        <w:rPr>
          <w:rFonts w:ascii="Calibri Light" w:hAnsi="Calibri Light" w:cs="Calibri Light"/>
          <w:kern w:val="0"/>
        </w:rPr>
        <w:t xml:space="preserve"> apply </w:t>
      </w:r>
      <w:r w:rsidRPr="00251E74">
        <w:rPr>
          <w:rFonts w:ascii="Calibri Light" w:hAnsi="Calibri Light" w:cs="Calibri Light"/>
          <w:kern w:val="0"/>
        </w:rPr>
        <w:t xml:space="preserve">the same appointment, salary, and promotion criteria to </w:t>
      </w:r>
      <w:r w:rsidR="00907813" w:rsidRPr="00251E74">
        <w:rPr>
          <w:rFonts w:ascii="Calibri Light" w:hAnsi="Calibri Light" w:cs="Calibri Light"/>
          <w:kern w:val="0"/>
        </w:rPr>
        <w:t xml:space="preserve">both </w:t>
      </w:r>
      <w:r w:rsidRPr="00251E74">
        <w:rPr>
          <w:rFonts w:ascii="Calibri Light" w:hAnsi="Calibri Light" w:cs="Calibri Light"/>
          <w:kern w:val="0"/>
        </w:rPr>
        <w:lastRenderedPageBreak/>
        <w:t>academic and administrative staff</w:t>
      </w:r>
      <w:r w:rsidR="00907813" w:rsidRPr="00251E74">
        <w:rPr>
          <w:rFonts w:ascii="Calibri Light" w:hAnsi="Calibri Light" w:cs="Calibri Light"/>
          <w:kern w:val="0"/>
        </w:rPr>
        <w:t xml:space="preserve"> (Article IX, Section 3.b). </w:t>
      </w:r>
      <w:r w:rsidR="00E81AF2" w:rsidRPr="00251E74">
        <w:rPr>
          <w:rFonts w:ascii="Calibri Light" w:hAnsi="Calibri Light" w:cs="Calibri Light"/>
          <w:kern w:val="0"/>
        </w:rPr>
        <w:t xml:space="preserve">PRI recommends </w:t>
      </w:r>
      <w:r w:rsidR="00AD169C" w:rsidRPr="00251E74">
        <w:rPr>
          <w:rFonts w:ascii="Calibri Light" w:hAnsi="Calibri Light" w:cs="Calibri Light"/>
          <w:kern w:val="0"/>
        </w:rPr>
        <w:t>defining the</w:t>
      </w:r>
      <w:r w:rsidR="00E81AF2" w:rsidRPr="00251E74">
        <w:rPr>
          <w:rFonts w:ascii="Calibri Light" w:hAnsi="Calibri Light" w:cs="Calibri Light"/>
          <w:kern w:val="0"/>
        </w:rPr>
        <w:t xml:space="preserve"> term “academic appointments” </w:t>
      </w:r>
      <w:r w:rsidR="00AD169C" w:rsidRPr="00251E74">
        <w:rPr>
          <w:rFonts w:ascii="Calibri Light" w:hAnsi="Calibri Light" w:cs="Calibri Light"/>
          <w:kern w:val="0"/>
        </w:rPr>
        <w:t xml:space="preserve">to conform with </w:t>
      </w:r>
      <w:r w:rsidR="00E81AF2" w:rsidRPr="00251E74">
        <w:rPr>
          <w:rFonts w:ascii="Calibri Light" w:hAnsi="Calibri Light" w:cs="Calibri Light"/>
          <w:kern w:val="0"/>
        </w:rPr>
        <w:t>Article IX, Section 2.b</w:t>
      </w:r>
      <w:r w:rsidR="00AD169C" w:rsidRPr="00251E74">
        <w:rPr>
          <w:rFonts w:ascii="Calibri Light" w:hAnsi="Calibri Light" w:cs="Calibri Light"/>
          <w:kern w:val="0"/>
        </w:rPr>
        <w:t xml:space="preserve"> which uses the phrasing: “</w:t>
      </w:r>
      <w:r w:rsidR="008950E8" w:rsidRPr="00251E74">
        <w:rPr>
          <w:rFonts w:ascii="Calibri Light" w:hAnsi="Calibri Light" w:cs="Calibri Light"/>
          <w:kern w:val="0"/>
        </w:rPr>
        <w:t>Faculty, academic professional, and postdoctoral research associate appointments</w:t>
      </w:r>
      <w:r w:rsidR="00AD169C" w:rsidRPr="00251E74">
        <w:rPr>
          <w:rFonts w:ascii="Calibri Light" w:hAnsi="Calibri Light" w:cs="Calibri Light"/>
          <w:kern w:val="0"/>
        </w:rPr>
        <w:t>.”</w:t>
      </w:r>
      <w:r w:rsidR="00AB3C72" w:rsidRPr="00251E74">
        <w:rPr>
          <w:rFonts w:ascii="Calibri Light" w:hAnsi="Calibri Light" w:cs="Calibri Light"/>
          <w:kern w:val="0"/>
        </w:rPr>
        <w:t xml:space="preserve"> </w:t>
      </w:r>
      <w:r w:rsidR="00AB3C72" w:rsidRPr="007260B4">
        <w:rPr>
          <w:rFonts w:ascii="Calibri Light" w:hAnsi="Calibri Light" w:cs="Calibri Light"/>
          <w:b/>
          <w:bCs/>
          <w:kern w:val="0"/>
        </w:rPr>
        <w:t>PRI’s concern:</w:t>
      </w:r>
      <w:r w:rsidR="00AB3C72" w:rsidRPr="00251E74">
        <w:rPr>
          <w:rFonts w:ascii="Calibri Light" w:hAnsi="Calibri Light" w:cs="Calibri Light"/>
          <w:kern w:val="0"/>
        </w:rPr>
        <w:t xml:space="preserve"> </w:t>
      </w:r>
      <w:r w:rsidR="00947D50" w:rsidRPr="00251E74">
        <w:rPr>
          <w:rFonts w:ascii="Calibri Light" w:hAnsi="Calibri Light" w:cs="Calibri Light"/>
          <w:kern w:val="0"/>
        </w:rPr>
        <w:t xml:space="preserve">while Article </w:t>
      </w:r>
      <w:r w:rsidR="00EE3001" w:rsidRPr="00251E74">
        <w:rPr>
          <w:rFonts w:ascii="Calibri Light" w:hAnsi="Calibri Light" w:cs="Calibri Light"/>
          <w:kern w:val="0"/>
        </w:rPr>
        <w:t>IX</w:t>
      </w:r>
      <w:r w:rsidR="00947D50" w:rsidRPr="00251E74">
        <w:rPr>
          <w:rFonts w:ascii="Calibri Light" w:hAnsi="Calibri Light" w:cs="Calibri Light"/>
          <w:kern w:val="0"/>
        </w:rPr>
        <w:t xml:space="preserve"> Section </w:t>
      </w:r>
      <w:r w:rsidR="00EE3001" w:rsidRPr="00251E74">
        <w:rPr>
          <w:rFonts w:ascii="Calibri Light" w:hAnsi="Calibri Light" w:cs="Calibri Light"/>
          <w:kern w:val="0"/>
        </w:rPr>
        <w:t xml:space="preserve">2.g.(2) allows “appropriate academic rank” to be accorded to members of the administrative staff, this is not guaranteed. For those members of the administrative staff who are not accorded “appropriate academic rank,” </w:t>
      </w:r>
      <w:r w:rsidR="00AB3C72" w:rsidRPr="00251E74">
        <w:rPr>
          <w:rFonts w:ascii="Calibri Light" w:hAnsi="Calibri Light" w:cs="Calibri Light"/>
          <w:kern w:val="0"/>
        </w:rPr>
        <w:t>where and what are the</w:t>
      </w:r>
      <w:r w:rsidR="00E45826" w:rsidRPr="00251E74">
        <w:rPr>
          <w:rFonts w:ascii="Calibri Light" w:hAnsi="Calibri Light" w:cs="Calibri Light"/>
          <w:kern w:val="0"/>
        </w:rPr>
        <w:t>ir</w:t>
      </w:r>
      <w:r w:rsidR="00AB3C72" w:rsidRPr="00251E74">
        <w:rPr>
          <w:rFonts w:ascii="Calibri Light" w:hAnsi="Calibri Light" w:cs="Calibri Light"/>
          <w:kern w:val="0"/>
        </w:rPr>
        <w:t xml:space="preserve"> appointment, salary, and promotion criteria</w:t>
      </w:r>
      <w:r w:rsidR="00E45826" w:rsidRPr="00251E74">
        <w:rPr>
          <w:rFonts w:ascii="Calibri Light" w:hAnsi="Calibri Light" w:cs="Calibri Light"/>
          <w:kern w:val="0"/>
        </w:rPr>
        <w:t>?</w:t>
      </w:r>
    </w:p>
    <w:p w14:paraId="5D9866D3" w14:textId="77777777" w:rsidR="00E45826" w:rsidRPr="00251E74" w:rsidRDefault="00E45826" w:rsidP="00C9639E">
      <w:pPr>
        <w:autoSpaceDE w:val="0"/>
        <w:autoSpaceDN w:val="0"/>
        <w:adjustRightInd w:val="0"/>
        <w:spacing w:after="0" w:line="276" w:lineRule="auto"/>
        <w:contextualSpacing/>
        <w:rPr>
          <w:rFonts w:ascii="Calibri Light" w:hAnsi="Calibri Light" w:cs="Calibri Light"/>
          <w:color w:val="FF0000"/>
          <w:kern w:val="0"/>
        </w:rPr>
      </w:pPr>
    </w:p>
    <w:p w14:paraId="58ED6B58" w14:textId="3F619233" w:rsidR="00AB3C72" w:rsidRPr="00251E74" w:rsidRDefault="00C4147C" w:rsidP="00C9639E">
      <w:pPr>
        <w:autoSpaceDE w:val="0"/>
        <w:autoSpaceDN w:val="0"/>
        <w:adjustRightInd w:val="0"/>
        <w:spacing w:after="0" w:line="276" w:lineRule="auto"/>
        <w:contextualSpacing/>
        <w:rPr>
          <w:rFonts w:ascii="Calibri Light" w:hAnsi="Calibri Light" w:cs="Calibri Light"/>
          <w:kern w:val="0"/>
        </w:rPr>
      </w:pPr>
      <w:r w:rsidRPr="00251E74">
        <w:rPr>
          <w:rFonts w:ascii="Calibri Light" w:hAnsi="Calibri Light" w:cs="Calibri Light"/>
          <w:b/>
          <w:bCs/>
          <w:kern w:val="0"/>
        </w:rPr>
        <w:t>Article IX, Section 2.b</w:t>
      </w:r>
      <w:r w:rsidRPr="00251E74">
        <w:rPr>
          <w:rFonts w:ascii="Calibri Light" w:hAnsi="Calibri Light" w:cs="Calibri Light"/>
          <w:kern w:val="0"/>
        </w:rPr>
        <w:t xml:space="preserve"> limits Board of Trustee appointments, reappointments, and promotions to “faculty, academic professionals, and postdoctoral research associates.” The original</w:t>
      </w:r>
      <w:r w:rsidRPr="00251E74">
        <w:rPr>
          <w:rFonts w:ascii="Calibri Light" w:hAnsi="Calibri Light" w:cs="Calibri Light"/>
          <w:i/>
          <w:iCs/>
          <w:kern w:val="0"/>
        </w:rPr>
        <w:t xml:space="preserve"> </w:t>
      </w:r>
      <w:r w:rsidRPr="00251E74">
        <w:rPr>
          <w:rFonts w:ascii="Calibri Light" w:hAnsi="Calibri Light" w:cs="Calibri Light"/>
          <w:kern w:val="0"/>
        </w:rPr>
        <w:t xml:space="preserve">Statutes at Article IX, Section 4.b authorized the Board to appoint, reappoint, and promote "academic and administrative staffs." </w:t>
      </w:r>
      <w:r w:rsidR="00AB3C72" w:rsidRPr="00251E74">
        <w:rPr>
          <w:rFonts w:ascii="Calibri Light" w:hAnsi="Calibri Light" w:cs="Calibri Light"/>
          <w:kern w:val="0"/>
        </w:rPr>
        <w:t xml:space="preserve">PRI’s concern: </w:t>
      </w:r>
      <w:r w:rsidR="00E45826" w:rsidRPr="00251E74">
        <w:rPr>
          <w:rFonts w:ascii="Calibri Light" w:hAnsi="Calibri Light" w:cs="Calibri Light"/>
          <w:kern w:val="0"/>
        </w:rPr>
        <w:t xml:space="preserve">while Article IX Section 2.g.(2) allows “appropriate academic rank” to be accorded to members of the administrative staff, this is not guaranteed. </w:t>
      </w:r>
      <w:r w:rsidR="007260B4" w:rsidRPr="007260B4">
        <w:rPr>
          <w:rFonts w:ascii="Calibri Light" w:hAnsi="Calibri Light" w:cs="Calibri Light"/>
          <w:b/>
          <w:bCs/>
          <w:kern w:val="0"/>
        </w:rPr>
        <w:t>PRI’s concern</w:t>
      </w:r>
      <w:r w:rsidR="007260B4" w:rsidRPr="007260B4">
        <w:rPr>
          <w:rFonts w:ascii="Calibri Light" w:hAnsi="Calibri Light" w:cs="Calibri Light"/>
          <w:kern w:val="0"/>
        </w:rPr>
        <w:t xml:space="preserve">: </w:t>
      </w:r>
      <w:r w:rsidR="007260B4">
        <w:rPr>
          <w:rFonts w:ascii="Calibri Light" w:hAnsi="Calibri Light" w:cs="Calibri Light"/>
          <w:kern w:val="0"/>
        </w:rPr>
        <w:t>f</w:t>
      </w:r>
      <w:r w:rsidR="00E45826" w:rsidRPr="00251E74">
        <w:rPr>
          <w:rFonts w:ascii="Calibri Light" w:hAnsi="Calibri Light" w:cs="Calibri Light"/>
          <w:kern w:val="0"/>
        </w:rPr>
        <w:t>or those members of the administrative staff who are not accorded “appropriate academic rank,” where and what are their appointment, salary, and promotion criteria?</w:t>
      </w:r>
    </w:p>
    <w:p w14:paraId="64F7FDF3" w14:textId="273C05A8" w:rsidR="00C4147C" w:rsidRPr="00251E74" w:rsidRDefault="00C4147C" w:rsidP="00C9639E">
      <w:pPr>
        <w:spacing w:after="0" w:line="276" w:lineRule="auto"/>
        <w:contextualSpacing/>
        <w:rPr>
          <w:rFonts w:ascii="Calibri Light" w:hAnsi="Calibri Light" w:cs="Calibri Light"/>
          <w:kern w:val="0"/>
        </w:rPr>
      </w:pPr>
    </w:p>
    <w:p w14:paraId="4FC63213" w14:textId="08F3DC7C" w:rsidR="00AE3D9B" w:rsidRPr="00251E74" w:rsidRDefault="00C4147C" w:rsidP="00C9639E">
      <w:pPr>
        <w:spacing w:after="0" w:line="276" w:lineRule="auto"/>
        <w:contextualSpacing/>
        <w:rPr>
          <w:rFonts w:ascii="Calibri Light" w:hAnsi="Calibri Light" w:cs="Calibri Light"/>
          <w:kern w:val="0"/>
        </w:rPr>
      </w:pPr>
      <w:r w:rsidRPr="00251E74">
        <w:rPr>
          <w:rFonts w:ascii="Calibri Light" w:hAnsi="Calibri Light" w:cs="Calibri Light"/>
          <w:b/>
          <w:bCs/>
          <w:kern w:val="0"/>
        </w:rPr>
        <w:t>Article IX, Section 2.c</w:t>
      </w:r>
      <w:r w:rsidRPr="00251E74">
        <w:rPr>
          <w:rFonts w:ascii="Calibri Light" w:hAnsi="Calibri Light" w:cs="Calibri Light"/>
          <w:kern w:val="0"/>
        </w:rPr>
        <w:t xml:space="preserve"> revisions would limit terms of employment notifications to academic professionals, faculty, and post-doctoral research associates. The original Statutes authorized the notification of employment to "all members of the academic and administrative staffs.” </w:t>
      </w:r>
      <w:r w:rsidR="00AB3C72" w:rsidRPr="00124048">
        <w:rPr>
          <w:rFonts w:ascii="Calibri Light" w:hAnsi="Calibri Light" w:cs="Calibri Light"/>
          <w:b/>
          <w:bCs/>
          <w:kern w:val="0"/>
        </w:rPr>
        <w:t>PRI’s concern</w:t>
      </w:r>
      <w:r w:rsidR="00AB3C72" w:rsidRPr="00251E74">
        <w:rPr>
          <w:rFonts w:ascii="Calibri Light" w:hAnsi="Calibri Light" w:cs="Calibri Light"/>
          <w:kern w:val="0"/>
        </w:rPr>
        <w:t xml:space="preserve">: </w:t>
      </w:r>
      <w:r w:rsidR="008075D9" w:rsidRPr="00251E74">
        <w:rPr>
          <w:rFonts w:ascii="Calibri Light" w:hAnsi="Calibri Light" w:cs="Calibri Light"/>
          <w:kern w:val="0"/>
        </w:rPr>
        <w:t xml:space="preserve">while Article IX Section 2.g.(2) allows “appropriate academic rank” to be accorded to members of the administrative staff, this is not guaranteed. For those members of the administrative staff who are not accorded “appropriate academic rank,” </w:t>
      </w:r>
      <w:r w:rsidR="00AB3C72" w:rsidRPr="00251E74">
        <w:rPr>
          <w:rFonts w:ascii="Calibri Light" w:hAnsi="Calibri Light" w:cs="Calibri Light"/>
          <w:kern w:val="0"/>
        </w:rPr>
        <w:t>where and what are the</w:t>
      </w:r>
      <w:r w:rsidR="008075D9" w:rsidRPr="00251E74">
        <w:rPr>
          <w:rFonts w:ascii="Calibri Light" w:hAnsi="Calibri Light" w:cs="Calibri Light"/>
          <w:kern w:val="0"/>
        </w:rPr>
        <w:t>ir</w:t>
      </w:r>
      <w:r w:rsidR="00AB3C72" w:rsidRPr="00251E74">
        <w:rPr>
          <w:rFonts w:ascii="Calibri Light" w:hAnsi="Calibri Light" w:cs="Calibri Light"/>
          <w:kern w:val="0"/>
        </w:rPr>
        <w:t xml:space="preserve"> </w:t>
      </w:r>
      <w:r w:rsidR="00AE3D9B" w:rsidRPr="00251E74">
        <w:rPr>
          <w:rFonts w:ascii="Calibri Light" w:hAnsi="Calibri Light" w:cs="Calibri Light"/>
          <w:kern w:val="0"/>
        </w:rPr>
        <w:t>employment notification requirements?</w:t>
      </w:r>
    </w:p>
    <w:p w14:paraId="18D6367C" w14:textId="017BDACC" w:rsidR="00C4147C" w:rsidRPr="00251E74" w:rsidRDefault="00C4147C" w:rsidP="00C9639E">
      <w:pPr>
        <w:autoSpaceDE w:val="0"/>
        <w:autoSpaceDN w:val="0"/>
        <w:adjustRightInd w:val="0"/>
        <w:spacing w:after="0" w:line="276" w:lineRule="auto"/>
        <w:contextualSpacing/>
        <w:rPr>
          <w:rFonts w:ascii="Calibri Light" w:hAnsi="Calibri Light" w:cs="Calibri Light"/>
          <w:color w:val="FF0000"/>
          <w:kern w:val="0"/>
        </w:rPr>
      </w:pPr>
    </w:p>
    <w:p w14:paraId="15B643E4" w14:textId="26408B34" w:rsidR="00C4147C" w:rsidRPr="00251E74" w:rsidRDefault="00C4147C" w:rsidP="005F42BB">
      <w:pPr>
        <w:spacing w:after="0" w:line="276" w:lineRule="auto"/>
        <w:contextualSpacing/>
        <w:rPr>
          <w:rFonts w:ascii="Calibri Light" w:hAnsi="Calibri Light" w:cs="Calibri Light"/>
          <w:kern w:val="0"/>
        </w:rPr>
      </w:pPr>
      <w:r w:rsidRPr="00251E74">
        <w:rPr>
          <w:rFonts w:ascii="Calibri Light" w:hAnsi="Calibri Light" w:cs="Calibri Light"/>
          <w:b/>
          <w:bCs/>
          <w:kern w:val="0"/>
        </w:rPr>
        <w:t>Article IX, Section 2.g (2)</w:t>
      </w:r>
      <w:r w:rsidRPr="00251E74">
        <w:rPr>
          <w:rFonts w:ascii="Calibri Light" w:hAnsi="Calibri Light" w:cs="Calibri Light"/>
          <w:kern w:val="0"/>
        </w:rPr>
        <w:t xml:space="preserve"> revisions use the term “academic rank,” </w:t>
      </w:r>
      <w:r w:rsidR="00124048">
        <w:rPr>
          <w:rFonts w:ascii="Calibri Light" w:hAnsi="Calibri Light" w:cs="Calibri Light"/>
          <w:kern w:val="0"/>
        </w:rPr>
        <w:t>but do not define the ter</w:t>
      </w:r>
      <w:r w:rsidR="005F42BB">
        <w:rPr>
          <w:rFonts w:ascii="Calibri Light" w:hAnsi="Calibri Light" w:cs="Calibri Light"/>
          <w:kern w:val="0"/>
        </w:rPr>
        <w:t xml:space="preserve">m while the </w:t>
      </w:r>
      <w:r w:rsidR="00B43A0B" w:rsidRPr="00251E74">
        <w:rPr>
          <w:rFonts w:ascii="Calibri Light" w:hAnsi="Calibri Light" w:cs="Calibri Light"/>
          <w:kern w:val="0"/>
        </w:rPr>
        <w:t xml:space="preserve">original Statutes </w:t>
      </w:r>
      <w:r w:rsidR="0003476E" w:rsidRPr="00251E74">
        <w:rPr>
          <w:rFonts w:ascii="Calibri Light" w:hAnsi="Calibri Light" w:cs="Calibri Light"/>
          <w:kern w:val="0"/>
        </w:rPr>
        <w:t>use</w:t>
      </w:r>
      <w:r w:rsidR="00B43A0B" w:rsidRPr="00251E74">
        <w:rPr>
          <w:rFonts w:ascii="Calibri Light" w:hAnsi="Calibri Light" w:cs="Calibri Light"/>
          <w:kern w:val="0"/>
        </w:rPr>
        <w:t xml:space="preserve"> </w:t>
      </w:r>
      <w:r w:rsidRPr="00251E74">
        <w:rPr>
          <w:rFonts w:ascii="Calibri Light" w:hAnsi="Calibri Light" w:cs="Calibri Light"/>
          <w:kern w:val="0"/>
        </w:rPr>
        <w:t>numerous, sometimes conflicting or incomplete examples of “academic rank</w:t>
      </w:r>
      <w:r w:rsidR="005F42BB">
        <w:rPr>
          <w:rFonts w:ascii="Calibri Light" w:hAnsi="Calibri Light" w:cs="Calibri Light"/>
          <w:kern w:val="0"/>
        </w:rPr>
        <w:t>.</w:t>
      </w:r>
      <w:r w:rsidRPr="00251E74">
        <w:rPr>
          <w:rFonts w:ascii="Calibri Light" w:hAnsi="Calibri Light" w:cs="Calibri Light"/>
          <w:kern w:val="0"/>
        </w:rPr>
        <w:t>”</w:t>
      </w:r>
      <w:r w:rsidR="0003476E" w:rsidRPr="00251E74">
        <w:rPr>
          <w:rFonts w:ascii="Calibri Light" w:hAnsi="Calibri Light" w:cs="Calibri Light"/>
          <w:kern w:val="0"/>
        </w:rPr>
        <w:t xml:space="preserve"> </w:t>
      </w:r>
      <w:r w:rsidR="005F42BB">
        <w:rPr>
          <w:rFonts w:ascii="Calibri Light" w:hAnsi="Calibri Light" w:cs="Calibri Light"/>
          <w:kern w:val="0"/>
        </w:rPr>
        <w:t xml:space="preserve">PRI recommends </w:t>
      </w:r>
      <w:r w:rsidR="0003476E" w:rsidRPr="00251E74">
        <w:rPr>
          <w:rFonts w:ascii="Calibri Light" w:hAnsi="Calibri Light" w:cs="Calibri Light"/>
          <w:kern w:val="0"/>
        </w:rPr>
        <w:t xml:space="preserve">defining “academic rank” by </w:t>
      </w:r>
      <w:r w:rsidR="002B0BFC" w:rsidRPr="00251E74">
        <w:rPr>
          <w:rFonts w:ascii="Calibri Light" w:hAnsi="Calibri Light" w:cs="Calibri Light"/>
          <w:kern w:val="0"/>
        </w:rPr>
        <w:t xml:space="preserve">listing </w:t>
      </w:r>
      <w:r w:rsidRPr="00251E74">
        <w:rPr>
          <w:rFonts w:ascii="Calibri Light" w:hAnsi="Calibri Light" w:cs="Calibri Light"/>
          <w:kern w:val="0"/>
        </w:rPr>
        <w:t xml:space="preserve">examples </w:t>
      </w:r>
      <w:r w:rsidR="0003476E" w:rsidRPr="00251E74">
        <w:rPr>
          <w:rFonts w:ascii="Calibri Light" w:hAnsi="Calibri Light" w:cs="Calibri Light"/>
          <w:kern w:val="0"/>
        </w:rPr>
        <w:t>in and referring back to</w:t>
      </w:r>
      <w:r w:rsidRPr="00251E74">
        <w:rPr>
          <w:rFonts w:ascii="Calibri Light" w:hAnsi="Calibri Light" w:cs="Calibri Light"/>
          <w:kern w:val="0"/>
        </w:rPr>
        <w:t xml:space="preserve"> Article II, Section 1.b through 1.f.</w:t>
      </w:r>
      <w:r w:rsidR="002B0BFC" w:rsidRPr="00251E74">
        <w:rPr>
          <w:rFonts w:ascii="Calibri Light" w:hAnsi="Calibri Light" w:cs="Calibri Light"/>
          <w:kern w:val="0"/>
        </w:rPr>
        <w:t xml:space="preserve"> PRI also </w:t>
      </w:r>
      <w:r w:rsidR="005F42BB">
        <w:rPr>
          <w:rFonts w:ascii="Calibri Light" w:hAnsi="Calibri Light" w:cs="Calibri Light"/>
          <w:kern w:val="0"/>
        </w:rPr>
        <w:t xml:space="preserve">recommends adding an </w:t>
      </w:r>
      <w:r w:rsidRPr="00251E74">
        <w:rPr>
          <w:rFonts w:ascii="Calibri Light" w:hAnsi="Calibri Light" w:cs="Calibri Light"/>
          <w:kern w:val="0"/>
        </w:rPr>
        <w:t>employee category of undergraduate and graduate student employee need</w:t>
      </w:r>
      <w:r w:rsidR="002B0BFC" w:rsidRPr="00251E74">
        <w:rPr>
          <w:rFonts w:ascii="Calibri Light" w:hAnsi="Calibri Light" w:cs="Calibri Light"/>
          <w:kern w:val="0"/>
        </w:rPr>
        <w:t>s</w:t>
      </w:r>
      <w:r w:rsidRPr="00251E74">
        <w:rPr>
          <w:rFonts w:ascii="Calibri Light" w:hAnsi="Calibri Light" w:cs="Calibri Light"/>
          <w:kern w:val="0"/>
        </w:rPr>
        <w:t xml:space="preserve"> to Article IX Section 2.g</w:t>
      </w:r>
      <w:r w:rsidR="002B0BFC" w:rsidRPr="00251E74">
        <w:rPr>
          <w:rFonts w:ascii="Calibri Light" w:hAnsi="Calibri Light" w:cs="Calibri Light"/>
          <w:kern w:val="0"/>
        </w:rPr>
        <w:t>.</w:t>
      </w:r>
      <w:r w:rsidR="005F42BB">
        <w:rPr>
          <w:rFonts w:ascii="Calibri Light" w:hAnsi="Calibri Light" w:cs="Calibri Light"/>
          <w:kern w:val="0"/>
        </w:rPr>
        <w:t xml:space="preserve"> Finally, PRI notes that </w:t>
      </w:r>
      <w:r w:rsidR="00B43A0B" w:rsidRPr="00251E74">
        <w:rPr>
          <w:rFonts w:ascii="Calibri Light" w:hAnsi="Calibri Light" w:cs="Calibri Light"/>
          <w:kern w:val="0"/>
        </w:rPr>
        <w:t xml:space="preserve">in </w:t>
      </w:r>
      <w:r w:rsidRPr="00251E74">
        <w:rPr>
          <w:rFonts w:ascii="Calibri Light" w:hAnsi="Calibri Light" w:cs="Calibri Light"/>
          <w:kern w:val="0"/>
        </w:rPr>
        <w:t xml:space="preserve">Section 2.g (1) </w:t>
      </w:r>
      <w:r w:rsidRPr="005F42BB">
        <w:rPr>
          <w:rFonts w:ascii="Calibri Light" w:hAnsi="Calibri Light" w:cs="Calibri Light"/>
          <w:i/>
          <w:iCs/>
          <w:kern w:val="0"/>
        </w:rPr>
        <w:t>emerita</w:t>
      </w:r>
      <w:r w:rsidRPr="00251E74">
        <w:rPr>
          <w:rFonts w:ascii="Calibri Light" w:hAnsi="Calibri Light" w:cs="Calibri Light"/>
          <w:kern w:val="0"/>
        </w:rPr>
        <w:t xml:space="preserve"> appear to be </w:t>
      </w:r>
      <w:r w:rsidRPr="00465AE8">
        <w:rPr>
          <w:rFonts w:ascii="Calibri Light" w:hAnsi="Calibri Light" w:cs="Calibri Light"/>
          <w:kern w:val="0"/>
          <w:u w:val="single"/>
        </w:rPr>
        <w:t>excluded</w:t>
      </w:r>
      <w:r w:rsidRPr="00251E74">
        <w:rPr>
          <w:rFonts w:ascii="Calibri Light" w:hAnsi="Calibri Light" w:cs="Calibri Light"/>
          <w:kern w:val="0"/>
        </w:rPr>
        <w:t xml:space="preserve"> from categories of employee, but are </w:t>
      </w:r>
      <w:r w:rsidRPr="00465AE8">
        <w:rPr>
          <w:rFonts w:ascii="Calibri Light" w:hAnsi="Calibri Light" w:cs="Calibri Light"/>
          <w:kern w:val="0"/>
          <w:u w:val="single"/>
        </w:rPr>
        <w:t>defined as employees</w:t>
      </w:r>
      <w:r w:rsidRPr="00251E74">
        <w:rPr>
          <w:rFonts w:ascii="Calibri Light" w:hAnsi="Calibri Light" w:cs="Calibri Light"/>
          <w:kern w:val="0"/>
        </w:rPr>
        <w:t xml:space="preserve"> in Article II, Section 1.a</w:t>
      </w:r>
      <w:r w:rsidR="00B43A0B" w:rsidRPr="00251E74">
        <w:rPr>
          <w:rFonts w:ascii="Calibri Light" w:hAnsi="Calibri Light" w:cs="Calibri Light"/>
          <w:kern w:val="0"/>
        </w:rPr>
        <w:t>.</w:t>
      </w:r>
    </w:p>
    <w:p w14:paraId="0C5740FF" w14:textId="77777777" w:rsidR="00C4147C" w:rsidRPr="00251E74" w:rsidRDefault="00C4147C" w:rsidP="00C9639E">
      <w:pPr>
        <w:spacing w:after="0" w:line="276" w:lineRule="auto"/>
        <w:rPr>
          <w:rFonts w:ascii="Calibri Light" w:hAnsi="Calibri Light" w:cs="Calibri Light"/>
          <w:color w:val="FF0000"/>
          <w:kern w:val="0"/>
        </w:rPr>
      </w:pPr>
    </w:p>
    <w:p w14:paraId="4F5115C1" w14:textId="1DD67B76" w:rsidR="00C4147C" w:rsidRPr="00251E74" w:rsidRDefault="00C4147C" w:rsidP="00C9639E">
      <w:pPr>
        <w:spacing w:after="0" w:line="276" w:lineRule="auto"/>
        <w:contextualSpacing/>
        <w:rPr>
          <w:rFonts w:ascii="Calibri Light" w:hAnsi="Calibri Light" w:cs="Calibri Light"/>
          <w:b/>
          <w:bCs/>
          <w:kern w:val="0"/>
        </w:rPr>
      </w:pPr>
      <w:r w:rsidRPr="00251E74">
        <w:rPr>
          <w:rFonts w:ascii="Calibri Light" w:hAnsi="Calibri Light" w:cs="Calibri Light"/>
          <w:b/>
          <w:bCs/>
          <w:kern w:val="0"/>
        </w:rPr>
        <w:t>Article IX, Section 2.h</w:t>
      </w:r>
      <w:r w:rsidRPr="00251E74">
        <w:rPr>
          <w:rFonts w:ascii="Calibri Light" w:hAnsi="Calibri Light" w:cs="Calibri Light"/>
          <w:kern w:val="0"/>
        </w:rPr>
        <w:t xml:space="preserve"> revisions extend “special classes of positions” to encompass non-faculty and non-academic professional staff </w:t>
      </w:r>
      <w:r w:rsidR="009E0971" w:rsidRPr="00251E74">
        <w:rPr>
          <w:rFonts w:ascii="Calibri Light" w:hAnsi="Calibri Light" w:cs="Calibri Light"/>
          <w:kern w:val="0"/>
        </w:rPr>
        <w:t>which could benefit PRI employees. PRI recommends</w:t>
      </w:r>
      <w:r w:rsidR="00CC4FE5" w:rsidRPr="00251E74">
        <w:rPr>
          <w:rFonts w:ascii="Calibri Light" w:hAnsi="Calibri Light" w:cs="Calibri Light"/>
          <w:kern w:val="0"/>
        </w:rPr>
        <w:t xml:space="preserve"> </w:t>
      </w:r>
      <w:r w:rsidR="009E0971" w:rsidRPr="00251E74">
        <w:rPr>
          <w:rFonts w:ascii="Calibri Light" w:hAnsi="Calibri Light" w:cs="Calibri Light"/>
          <w:kern w:val="0"/>
        </w:rPr>
        <w:t xml:space="preserve">replacing the phrasing “special classes of positions” </w:t>
      </w:r>
      <w:r w:rsidR="00CC4FE5" w:rsidRPr="00251E74">
        <w:rPr>
          <w:rFonts w:ascii="Calibri Light" w:hAnsi="Calibri Light" w:cs="Calibri Light"/>
          <w:kern w:val="0"/>
        </w:rPr>
        <w:t>(</w:t>
      </w:r>
      <w:r w:rsidR="009E0971" w:rsidRPr="00251E74">
        <w:rPr>
          <w:rFonts w:ascii="Calibri Light" w:hAnsi="Calibri Light" w:cs="Calibri Light"/>
          <w:kern w:val="0"/>
        </w:rPr>
        <w:t xml:space="preserve">which is </w:t>
      </w:r>
      <w:r w:rsidR="00CC4FE5" w:rsidRPr="00251E74">
        <w:rPr>
          <w:rFonts w:ascii="Calibri Light" w:hAnsi="Calibri Light" w:cs="Calibri Light"/>
          <w:kern w:val="0"/>
        </w:rPr>
        <w:t>not</w:t>
      </w:r>
      <w:r w:rsidR="009E0971" w:rsidRPr="00251E74">
        <w:rPr>
          <w:rFonts w:ascii="Calibri Light" w:hAnsi="Calibri Light" w:cs="Calibri Light"/>
          <w:kern w:val="0"/>
        </w:rPr>
        <w:t xml:space="preserve"> defined</w:t>
      </w:r>
      <w:r w:rsidR="00CC4FE5" w:rsidRPr="00251E74">
        <w:rPr>
          <w:rFonts w:ascii="Calibri Light" w:hAnsi="Calibri Light" w:cs="Calibri Light"/>
          <w:kern w:val="0"/>
        </w:rPr>
        <w:t xml:space="preserve">) </w:t>
      </w:r>
      <w:r w:rsidR="009E0971" w:rsidRPr="00251E74">
        <w:rPr>
          <w:rFonts w:ascii="Calibri Light" w:hAnsi="Calibri Light" w:cs="Calibri Light"/>
          <w:kern w:val="0"/>
        </w:rPr>
        <w:t xml:space="preserve">with the phrasing </w:t>
      </w:r>
      <w:r w:rsidR="00397644" w:rsidRPr="00251E74">
        <w:rPr>
          <w:rFonts w:ascii="Calibri Light" w:hAnsi="Calibri Light" w:cs="Calibri Light"/>
          <w:kern w:val="0"/>
        </w:rPr>
        <w:t xml:space="preserve">“special </w:t>
      </w:r>
      <w:r w:rsidRPr="00251E74">
        <w:rPr>
          <w:rFonts w:ascii="Calibri Light" w:hAnsi="Calibri Light" w:cs="Calibri Light"/>
          <w:kern w:val="0"/>
        </w:rPr>
        <w:t>categories of employee</w:t>
      </w:r>
      <w:r w:rsidR="00AF0DDC" w:rsidRPr="00251E74">
        <w:rPr>
          <w:rFonts w:ascii="Calibri Light" w:hAnsi="Calibri Light" w:cs="Calibri Light"/>
          <w:kern w:val="0"/>
        </w:rPr>
        <w:t xml:space="preserve"> (as defined in Article IX, Section 2.g.)” </w:t>
      </w:r>
      <w:r w:rsidRPr="00251E74">
        <w:rPr>
          <w:rFonts w:ascii="Calibri Light" w:hAnsi="Calibri Light" w:cs="Calibri Light"/>
          <w:kern w:val="0"/>
        </w:rPr>
        <w:t>for clarity and consistency.</w:t>
      </w:r>
    </w:p>
    <w:p w14:paraId="74BC72F0" w14:textId="77777777" w:rsidR="00C4147C" w:rsidRPr="00251E74" w:rsidRDefault="00C4147C" w:rsidP="00C9639E">
      <w:pPr>
        <w:spacing w:after="0" w:line="276" w:lineRule="auto"/>
        <w:rPr>
          <w:rFonts w:ascii="Calibri Light" w:hAnsi="Calibri Light" w:cs="Calibri Light"/>
          <w:b/>
          <w:bCs/>
          <w:color w:val="3A7C22" w:themeColor="accent6" w:themeShade="BF"/>
          <w:kern w:val="0"/>
        </w:rPr>
      </w:pPr>
    </w:p>
    <w:p w14:paraId="6E96A99B" w14:textId="3EE54906" w:rsidR="00F97511" w:rsidRPr="00251E74" w:rsidRDefault="00C4147C" w:rsidP="00C9639E">
      <w:pPr>
        <w:autoSpaceDE w:val="0"/>
        <w:autoSpaceDN w:val="0"/>
        <w:adjustRightInd w:val="0"/>
        <w:spacing w:after="0" w:line="276" w:lineRule="auto"/>
        <w:contextualSpacing/>
        <w:rPr>
          <w:rFonts w:ascii="Calibri Light" w:hAnsi="Calibri Light" w:cs="Calibri Light"/>
          <w:kern w:val="0"/>
        </w:rPr>
      </w:pPr>
      <w:r w:rsidRPr="00251E74">
        <w:rPr>
          <w:rFonts w:ascii="Calibri Light" w:hAnsi="Calibri Light" w:cs="Calibri Light"/>
          <w:b/>
          <w:bCs/>
          <w:kern w:val="0"/>
        </w:rPr>
        <w:t>Article IX, Section 2.j</w:t>
      </w:r>
      <w:r w:rsidRPr="00251E74">
        <w:rPr>
          <w:rFonts w:ascii="Calibri Light" w:hAnsi="Calibri Light" w:cs="Calibri Light"/>
          <w:kern w:val="0"/>
        </w:rPr>
        <w:t xml:space="preserve"> </w:t>
      </w:r>
      <w:r w:rsidR="00030404" w:rsidRPr="00251E74">
        <w:rPr>
          <w:rFonts w:ascii="Calibri Light" w:hAnsi="Calibri Light" w:cs="Calibri Light"/>
          <w:kern w:val="0"/>
        </w:rPr>
        <w:t xml:space="preserve">revisions </w:t>
      </w:r>
      <w:r w:rsidRPr="00251E74">
        <w:rPr>
          <w:rFonts w:ascii="Calibri Light" w:hAnsi="Calibri Light" w:cs="Calibri Light"/>
          <w:kern w:val="0"/>
        </w:rPr>
        <w:t xml:space="preserve">use the phrase "academic professional staff" for the first time; if this is meant to have the same meaning as "academic professional” then the latter term should be used for clarity and consistency. </w:t>
      </w:r>
      <w:r w:rsidR="009B35DF" w:rsidRPr="00251E74">
        <w:rPr>
          <w:rFonts w:ascii="Calibri Light" w:hAnsi="Calibri Light" w:cs="Calibri Light"/>
          <w:kern w:val="0"/>
        </w:rPr>
        <w:t>In the original Statutes at Article X, Section 3c, these appointment parameters also applied to clinical associates and research associates, clinical assistants, and research assistants and other graduate assistants as well as to academic staff conducting educational programs consisting of “the teaching</w:t>
      </w:r>
      <w:r w:rsidR="009B35DF" w:rsidRPr="00251E74">
        <w:rPr>
          <w:rFonts w:ascii="Calibri Light" w:hAnsi="Calibri Light" w:cs="Calibri Light"/>
          <w:i/>
          <w:iCs/>
          <w:kern w:val="0"/>
        </w:rPr>
        <w:t>, research, scientific</w:t>
      </w:r>
      <w:r w:rsidR="009B35DF" w:rsidRPr="00251E74">
        <w:rPr>
          <w:rFonts w:ascii="Calibri Light" w:hAnsi="Calibri Light" w:cs="Calibri Light"/>
          <w:kern w:val="0"/>
        </w:rPr>
        <w:t xml:space="preserve">, counseling, and extension staffs; deans and directors of colleges, schools, institutes, and similar university units; editors, librarians, and such other members of the staff as are designated by the president and the chancellors/vice presidents” (Original Statutes at Article X, Section </w:t>
      </w:r>
      <w:r w:rsidR="009B35DF" w:rsidRPr="00251E74">
        <w:rPr>
          <w:rFonts w:ascii="Calibri Light" w:hAnsi="Calibri Light" w:cs="Calibri Light"/>
          <w:kern w:val="0"/>
        </w:rPr>
        <w:lastRenderedPageBreak/>
        <w:t xml:space="preserve">4a). </w:t>
      </w:r>
      <w:r w:rsidR="009B35DF" w:rsidRPr="00CB6B79">
        <w:rPr>
          <w:rFonts w:ascii="Calibri Light" w:hAnsi="Calibri Light" w:cs="Calibri Light"/>
          <w:b/>
          <w:bCs/>
          <w:kern w:val="0"/>
        </w:rPr>
        <w:t xml:space="preserve">PRI’s </w:t>
      </w:r>
      <w:r w:rsidR="003F3B75" w:rsidRPr="00CB6B79">
        <w:rPr>
          <w:rFonts w:ascii="Calibri Light" w:hAnsi="Calibri Light" w:cs="Calibri Light"/>
          <w:b/>
          <w:bCs/>
          <w:kern w:val="0"/>
        </w:rPr>
        <w:t>concern</w:t>
      </w:r>
      <w:r w:rsidR="00CB6B79">
        <w:rPr>
          <w:rFonts w:ascii="Calibri Light" w:hAnsi="Calibri Light" w:cs="Calibri Light"/>
          <w:kern w:val="0"/>
        </w:rPr>
        <w:t xml:space="preserve">: </w:t>
      </w:r>
      <w:r w:rsidR="003F3B75" w:rsidRPr="00251E74">
        <w:rPr>
          <w:rFonts w:ascii="Calibri Light" w:hAnsi="Calibri Light" w:cs="Calibri Light"/>
          <w:kern w:val="0"/>
        </w:rPr>
        <w:t xml:space="preserve">if this Section limits appointment criteria to non-tenure System faculty and academic professionals, where and what </w:t>
      </w:r>
      <w:r w:rsidR="00F97511" w:rsidRPr="00251E74">
        <w:rPr>
          <w:rFonts w:ascii="Calibri Light" w:hAnsi="Calibri Light" w:cs="Calibri Light"/>
          <w:kern w:val="0"/>
        </w:rPr>
        <w:t xml:space="preserve">are the appointment requirements for </w:t>
      </w:r>
      <w:r w:rsidR="009B362B" w:rsidRPr="00251E74">
        <w:rPr>
          <w:rFonts w:ascii="Calibri Light" w:hAnsi="Calibri Light" w:cs="Calibri Light"/>
          <w:kern w:val="0"/>
        </w:rPr>
        <w:t>all the other employee categories that the original Statutes include?</w:t>
      </w:r>
    </w:p>
    <w:p w14:paraId="7AE77070" w14:textId="77777777" w:rsidR="00F97511" w:rsidRPr="00251E74" w:rsidRDefault="00F97511" w:rsidP="00C9639E">
      <w:pPr>
        <w:autoSpaceDE w:val="0"/>
        <w:autoSpaceDN w:val="0"/>
        <w:adjustRightInd w:val="0"/>
        <w:spacing w:after="0" w:line="276" w:lineRule="auto"/>
        <w:contextualSpacing/>
        <w:rPr>
          <w:rFonts w:ascii="Calibri Light" w:hAnsi="Calibri Light" w:cs="Calibri Light"/>
          <w:b/>
          <w:bCs/>
          <w:color w:val="FF0000"/>
          <w:kern w:val="0"/>
        </w:rPr>
      </w:pPr>
    </w:p>
    <w:p w14:paraId="291DBEA0" w14:textId="29622C2F" w:rsidR="00C4147C" w:rsidRPr="00251E74" w:rsidRDefault="00C4147C" w:rsidP="00C9639E">
      <w:pPr>
        <w:spacing w:after="0" w:line="276" w:lineRule="auto"/>
        <w:contextualSpacing/>
        <w:rPr>
          <w:rFonts w:ascii="Calibri Light" w:hAnsi="Calibri Light" w:cs="Calibri Light"/>
          <w:b/>
          <w:bCs/>
          <w:kern w:val="0"/>
        </w:rPr>
      </w:pPr>
      <w:r w:rsidRPr="00251E74">
        <w:rPr>
          <w:rFonts w:ascii="Calibri Light" w:hAnsi="Calibri Light" w:cs="Calibri Light"/>
          <w:b/>
          <w:bCs/>
          <w:kern w:val="0"/>
        </w:rPr>
        <w:t>Article IX, Section 2.k</w:t>
      </w:r>
      <w:r w:rsidRPr="00251E74">
        <w:rPr>
          <w:rFonts w:ascii="Calibri Light" w:hAnsi="Calibri Light" w:cs="Calibri Light"/>
          <w:kern w:val="0"/>
        </w:rPr>
        <w:t xml:space="preserve"> revisions require the chancellor/vice president and senate to develop implementing procedures for multi-year contract appointments for certain employees including research and clinical associates in Article IX, Section 2.m (which limits these appointments to five years or one year and which requires written notice of non-reappointment). Section 2.k appears to contradict Article IX, Section 2.n which provides that appointments for clinical assistants and research assistants can be for no longer than one year and which does not require an official notice of non-reappointment. Even if read as additive, the Section is confusing</w:t>
      </w:r>
      <w:r w:rsidR="0054304E" w:rsidRPr="00251E74">
        <w:rPr>
          <w:rFonts w:ascii="Calibri Light" w:hAnsi="Calibri Light" w:cs="Calibri Light"/>
          <w:kern w:val="0"/>
        </w:rPr>
        <w:t>.</w:t>
      </w:r>
    </w:p>
    <w:p w14:paraId="7526D697" w14:textId="77777777" w:rsidR="00C4147C" w:rsidRPr="00251E74" w:rsidRDefault="00C4147C" w:rsidP="00C9639E">
      <w:pPr>
        <w:spacing w:after="0" w:line="276" w:lineRule="auto"/>
        <w:ind w:left="720"/>
        <w:contextualSpacing/>
        <w:rPr>
          <w:rFonts w:ascii="Calibri Light" w:hAnsi="Calibri Light" w:cs="Calibri Light"/>
          <w:color w:val="3A7C22" w:themeColor="accent6" w:themeShade="BF"/>
          <w:kern w:val="0"/>
        </w:rPr>
      </w:pPr>
    </w:p>
    <w:p w14:paraId="08766CA2" w14:textId="77777777" w:rsidR="008E609D" w:rsidRPr="00251E74" w:rsidRDefault="008E609D" w:rsidP="00C9639E">
      <w:pPr>
        <w:spacing w:after="0" w:line="276" w:lineRule="auto"/>
        <w:rPr>
          <w:rFonts w:ascii="Calibri Light" w:hAnsi="Calibri Light" w:cs="Calibri Light"/>
          <w:i/>
          <w:iCs/>
          <w:kern w:val="0"/>
        </w:rPr>
      </w:pPr>
      <w:r w:rsidRPr="00251E74">
        <w:rPr>
          <w:rFonts w:ascii="Calibri Light" w:hAnsi="Calibri Light" w:cs="Calibri Light"/>
          <w:i/>
          <w:iCs/>
          <w:kern w:val="0"/>
        </w:rPr>
        <w:t>ARTICLE XII. RESEARCH AND PUBLICATION</w:t>
      </w:r>
    </w:p>
    <w:p w14:paraId="197DDBA9" w14:textId="1665E124" w:rsidR="008E609D" w:rsidRPr="00251E74" w:rsidRDefault="00C362C5" w:rsidP="00C9639E">
      <w:pPr>
        <w:spacing w:after="0" w:line="276" w:lineRule="auto"/>
        <w:rPr>
          <w:rFonts w:ascii="Calibri Light" w:hAnsi="Calibri Light" w:cs="Calibri Light"/>
          <w:i/>
          <w:iCs/>
          <w:kern w:val="0"/>
        </w:rPr>
      </w:pPr>
      <w:r w:rsidRPr="00251E74">
        <w:rPr>
          <w:rFonts w:ascii="Calibri Light" w:hAnsi="Calibri Light" w:cs="Calibri Light"/>
          <w:i/>
          <w:iCs/>
          <w:kern w:val="0"/>
        </w:rPr>
        <w:t>Section 4. Scientific and Scholarly Publications and Creative Work</w:t>
      </w:r>
    </w:p>
    <w:p w14:paraId="3C65463E" w14:textId="3D4EEEE2" w:rsidR="00AF6FEF" w:rsidRPr="00251E74" w:rsidRDefault="00AF6FEF" w:rsidP="00C9639E">
      <w:pPr>
        <w:spacing w:after="0" w:line="276" w:lineRule="auto"/>
        <w:rPr>
          <w:rFonts w:ascii="Calibri Light" w:hAnsi="Calibri Light" w:cs="Calibri Light"/>
          <w:kern w:val="0"/>
          <w14:ligatures w14:val="none"/>
        </w:rPr>
      </w:pPr>
      <w:r w:rsidRPr="00251E74">
        <w:rPr>
          <w:rFonts w:ascii="Calibri Light" w:hAnsi="Calibri Light" w:cs="Calibri Light"/>
          <w:b/>
          <w:bCs/>
          <w:kern w:val="0"/>
        </w:rPr>
        <w:t>Article XII, Section 4</w:t>
      </w:r>
      <w:r w:rsidRPr="00251E74">
        <w:rPr>
          <w:rFonts w:ascii="Calibri Light" w:hAnsi="Calibri Light" w:cs="Calibri Light"/>
          <w:kern w:val="0"/>
        </w:rPr>
        <w:t xml:space="preserve"> </w:t>
      </w:r>
      <w:r w:rsidR="00904A8F" w:rsidRPr="00251E74">
        <w:rPr>
          <w:rFonts w:ascii="Calibri Light" w:hAnsi="Calibri Light" w:cs="Calibri Light"/>
          <w:kern w:val="0"/>
        </w:rPr>
        <w:t xml:space="preserve">authorizes </w:t>
      </w:r>
      <w:r w:rsidRPr="00251E74">
        <w:rPr>
          <w:rFonts w:ascii="Calibri Light" w:hAnsi="Calibri Light" w:cs="Calibri Light"/>
          <w:kern w:val="0"/>
        </w:rPr>
        <w:t>copyright of specified “scientific and scholarly” works subsidized by the System</w:t>
      </w:r>
      <w:r w:rsidR="00061285">
        <w:rPr>
          <w:rFonts w:ascii="Calibri Light" w:hAnsi="Calibri Light" w:cs="Calibri Light"/>
          <w:kern w:val="0"/>
        </w:rPr>
        <w:t>,</w:t>
      </w:r>
      <w:r w:rsidRPr="00251E74">
        <w:rPr>
          <w:rFonts w:ascii="Calibri Light" w:hAnsi="Calibri Light" w:cs="Calibri Light"/>
          <w:kern w:val="0"/>
        </w:rPr>
        <w:t xml:space="preserve"> but only </w:t>
      </w:r>
      <w:r w:rsidR="00061285">
        <w:rPr>
          <w:rFonts w:ascii="Calibri Light" w:hAnsi="Calibri Light" w:cs="Calibri Light"/>
          <w:kern w:val="0"/>
        </w:rPr>
        <w:t>if</w:t>
      </w:r>
      <w:r w:rsidRPr="00251E74">
        <w:rPr>
          <w:rFonts w:ascii="Calibri Light" w:hAnsi="Calibri Light" w:cs="Calibri Light"/>
          <w:kern w:val="0"/>
        </w:rPr>
        <w:t xml:space="preserve"> done by “authors and artists who are members of the academic ranks recognized in Article IX, Section 2.” </w:t>
      </w:r>
      <w:r w:rsidR="00116AEB" w:rsidRPr="00061285">
        <w:rPr>
          <w:rFonts w:ascii="Calibri Light" w:hAnsi="Calibri Light" w:cs="Calibri Light"/>
          <w:b/>
          <w:bCs/>
          <w:kern w:val="0"/>
        </w:rPr>
        <w:t>PRI’s concern</w:t>
      </w:r>
      <w:r w:rsidR="00061285">
        <w:rPr>
          <w:rFonts w:ascii="Calibri Light" w:hAnsi="Calibri Light" w:cs="Calibri Light"/>
          <w:b/>
          <w:bCs/>
          <w:kern w:val="0"/>
        </w:rPr>
        <w:t>s</w:t>
      </w:r>
      <w:r w:rsidR="00116AEB" w:rsidRPr="00251E74">
        <w:rPr>
          <w:rFonts w:ascii="Calibri Light" w:hAnsi="Calibri Light" w:cs="Calibri Light"/>
          <w:kern w:val="0"/>
        </w:rPr>
        <w:t xml:space="preserve">: </w:t>
      </w:r>
      <w:r w:rsidR="00061285">
        <w:rPr>
          <w:rFonts w:ascii="Calibri Light" w:hAnsi="Calibri Light" w:cs="Calibri Light"/>
          <w:kern w:val="0"/>
        </w:rPr>
        <w:t xml:space="preserve">first, </w:t>
      </w:r>
      <w:r w:rsidR="008D58D4" w:rsidRPr="00251E74">
        <w:rPr>
          <w:rFonts w:ascii="Calibri Light" w:hAnsi="Calibri Light" w:cs="Calibri Light"/>
          <w:kern w:val="0"/>
        </w:rPr>
        <w:t xml:space="preserve">the phrase “academic ranks” is not defined </w:t>
      </w:r>
      <w:r w:rsidR="002226C7" w:rsidRPr="00251E74">
        <w:rPr>
          <w:rFonts w:ascii="Calibri Light" w:hAnsi="Calibri Light" w:cs="Calibri Light"/>
          <w:kern w:val="0"/>
        </w:rPr>
        <w:t>in the USC Revised Statutes (see, e.g., Article IX, Section 2.g (2))</w:t>
      </w:r>
      <w:r w:rsidR="00061285">
        <w:rPr>
          <w:rFonts w:ascii="Calibri Light" w:hAnsi="Calibri Light" w:cs="Calibri Light"/>
          <w:kern w:val="0"/>
        </w:rPr>
        <w:t>; second</w:t>
      </w:r>
      <w:r w:rsidR="0057666F">
        <w:rPr>
          <w:rFonts w:ascii="Calibri Light" w:hAnsi="Calibri Light" w:cs="Calibri Light"/>
          <w:kern w:val="0"/>
        </w:rPr>
        <w:t xml:space="preserve"> as currently worded, the </w:t>
      </w:r>
      <w:r w:rsidR="006F3768" w:rsidRPr="00251E74">
        <w:rPr>
          <w:rFonts w:ascii="Calibri Light" w:hAnsi="Calibri Light" w:cs="Calibri Light"/>
          <w:kern w:val="0"/>
        </w:rPr>
        <w:t xml:space="preserve">phrase implies </w:t>
      </w:r>
      <w:r w:rsidR="008D58D4" w:rsidRPr="00251E74">
        <w:rPr>
          <w:rFonts w:ascii="Calibri Light" w:hAnsi="Calibri Light" w:cs="Calibri Light"/>
          <w:kern w:val="0"/>
        </w:rPr>
        <w:t xml:space="preserve">that only </w:t>
      </w:r>
      <w:r w:rsidRPr="00251E74">
        <w:rPr>
          <w:rFonts w:ascii="Calibri Light" w:hAnsi="Calibri Light" w:cs="Calibri Light"/>
          <w:kern w:val="0"/>
        </w:rPr>
        <w:t xml:space="preserve">faculty and other clearly delineated </w:t>
      </w:r>
      <w:r w:rsidRPr="00251E74">
        <w:rPr>
          <w:rFonts w:ascii="Calibri Light" w:hAnsi="Calibri Light" w:cs="Calibri Light"/>
          <w:i/>
          <w:iCs/>
          <w:kern w:val="0"/>
        </w:rPr>
        <w:t>academic</w:t>
      </w:r>
      <w:r w:rsidRPr="00251E74">
        <w:rPr>
          <w:rFonts w:ascii="Calibri Light" w:hAnsi="Calibri Light" w:cs="Calibri Light"/>
          <w:kern w:val="0"/>
        </w:rPr>
        <w:t xml:space="preserve"> positions</w:t>
      </w:r>
      <w:r w:rsidR="003C1B77" w:rsidRPr="00251E74">
        <w:rPr>
          <w:rFonts w:ascii="Calibri Light" w:hAnsi="Calibri Light" w:cs="Calibri Light"/>
          <w:kern w:val="0"/>
        </w:rPr>
        <w:t xml:space="preserve"> </w:t>
      </w:r>
      <w:r w:rsidR="008D58D4" w:rsidRPr="00251E74">
        <w:rPr>
          <w:rFonts w:ascii="Calibri Light" w:hAnsi="Calibri Light" w:cs="Calibri Light"/>
          <w:kern w:val="0"/>
        </w:rPr>
        <w:t xml:space="preserve">are accorded copyright </w:t>
      </w:r>
      <w:r w:rsidR="00BE5AA9" w:rsidRPr="00251E74">
        <w:rPr>
          <w:rFonts w:ascii="Calibri Light" w:hAnsi="Calibri Light" w:cs="Calibri Light"/>
          <w:kern w:val="0"/>
        </w:rPr>
        <w:t>authority. If so, this coul</w:t>
      </w:r>
      <w:r w:rsidR="003C1B77" w:rsidRPr="00251E74">
        <w:rPr>
          <w:rFonts w:ascii="Calibri Light" w:hAnsi="Calibri Light" w:cs="Calibri Light"/>
          <w:kern w:val="0"/>
        </w:rPr>
        <w:t xml:space="preserve">d limit </w:t>
      </w:r>
      <w:r w:rsidRPr="00251E74">
        <w:rPr>
          <w:rFonts w:ascii="Calibri Light" w:hAnsi="Calibri Light" w:cs="Calibri Light"/>
          <w:kern w:val="0"/>
        </w:rPr>
        <w:t>the ability of non</w:t>
      </w:r>
      <w:r w:rsidR="003C1B77" w:rsidRPr="00251E74">
        <w:rPr>
          <w:rFonts w:ascii="Calibri Light" w:hAnsi="Calibri Light" w:cs="Calibri Light"/>
          <w:kern w:val="0"/>
        </w:rPr>
        <w:t>-faculty non-academic professional and non</w:t>
      </w:r>
      <w:r w:rsidRPr="00251E74">
        <w:rPr>
          <w:rFonts w:ascii="Calibri Light" w:hAnsi="Calibri Light" w:cs="Calibri Light"/>
          <w:kern w:val="0"/>
        </w:rPr>
        <w:t>-</w:t>
      </w:r>
      <w:r w:rsidR="00BE5AA9" w:rsidRPr="00251E74">
        <w:rPr>
          <w:rFonts w:ascii="Calibri Light" w:hAnsi="Calibri Light" w:cs="Calibri Light"/>
          <w:kern w:val="0"/>
        </w:rPr>
        <w:t>“</w:t>
      </w:r>
      <w:r w:rsidRPr="00251E74">
        <w:rPr>
          <w:rFonts w:ascii="Calibri Light" w:hAnsi="Calibri Light" w:cs="Calibri Light"/>
          <w:kern w:val="0"/>
        </w:rPr>
        <w:t>academic rank</w:t>
      </w:r>
      <w:r w:rsidR="00BE5AA9" w:rsidRPr="00251E74">
        <w:rPr>
          <w:rFonts w:ascii="Calibri Light" w:hAnsi="Calibri Light" w:cs="Calibri Light"/>
          <w:kern w:val="0"/>
        </w:rPr>
        <w:t>”</w:t>
      </w:r>
      <w:r w:rsidRPr="00251E74">
        <w:rPr>
          <w:rFonts w:ascii="Calibri Light" w:hAnsi="Calibri Light" w:cs="Calibri Light"/>
          <w:kern w:val="0"/>
        </w:rPr>
        <w:t xml:space="preserve"> authors to copyright their scientific and scholarly works. </w:t>
      </w:r>
      <w:r w:rsidR="00116AEB" w:rsidRPr="00251E74">
        <w:rPr>
          <w:rFonts w:ascii="Calibri Light" w:hAnsi="Calibri Light" w:cs="Calibri Light"/>
          <w:kern w:val="0"/>
        </w:rPr>
        <w:t>PRI recommends del</w:t>
      </w:r>
      <w:r w:rsidRPr="00251E74">
        <w:rPr>
          <w:rFonts w:ascii="Calibri Light" w:hAnsi="Calibri Light" w:cs="Calibri Light"/>
          <w:kern w:val="0"/>
        </w:rPr>
        <w:t xml:space="preserve">eting </w:t>
      </w:r>
      <w:r w:rsidR="00116AEB" w:rsidRPr="00251E74">
        <w:rPr>
          <w:rFonts w:ascii="Calibri Light" w:hAnsi="Calibri Light" w:cs="Calibri Light"/>
          <w:kern w:val="0"/>
        </w:rPr>
        <w:t xml:space="preserve">the phrase </w:t>
      </w:r>
      <w:r w:rsidR="0057666F">
        <w:rPr>
          <w:rFonts w:ascii="Calibri Light" w:hAnsi="Calibri Light" w:cs="Calibri Light"/>
          <w:kern w:val="0"/>
        </w:rPr>
        <w:t>(</w:t>
      </w:r>
      <w:r w:rsidR="0057666F" w:rsidRPr="00251E74">
        <w:rPr>
          <w:rFonts w:ascii="Calibri Light" w:hAnsi="Calibri Light" w:cs="Calibri Light"/>
          <w:kern w:val="0"/>
        </w:rPr>
        <w:t>Line 2420</w:t>
      </w:r>
      <w:r w:rsidR="0057666F">
        <w:rPr>
          <w:rFonts w:ascii="Calibri Light" w:hAnsi="Calibri Light" w:cs="Calibri Light"/>
          <w:kern w:val="0"/>
        </w:rPr>
        <w:t>)</w:t>
      </w:r>
      <w:r w:rsidR="0057666F" w:rsidRPr="00251E74">
        <w:rPr>
          <w:rFonts w:ascii="Calibri Light" w:hAnsi="Calibri Light" w:cs="Calibri Light"/>
          <w:kern w:val="0"/>
        </w:rPr>
        <w:t xml:space="preserve"> </w:t>
      </w:r>
      <w:r w:rsidRPr="00251E74">
        <w:rPr>
          <w:rFonts w:ascii="Calibri Light" w:hAnsi="Calibri Light" w:cs="Calibri Light"/>
          <w:kern w:val="0"/>
        </w:rPr>
        <w:t xml:space="preserve">“Authors and artists who are members of the academic ranks” and replacing </w:t>
      </w:r>
      <w:r w:rsidR="00116AEB" w:rsidRPr="00251E74">
        <w:rPr>
          <w:rFonts w:ascii="Calibri Light" w:hAnsi="Calibri Light" w:cs="Calibri Light"/>
          <w:kern w:val="0"/>
        </w:rPr>
        <w:t>it with “F</w:t>
      </w:r>
      <w:r w:rsidRPr="00251E74">
        <w:rPr>
          <w:rFonts w:ascii="Calibri Light" w:hAnsi="Calibri Light" w:cs="Calibri Light"/>
          <w:kern w:val="0"/>
        </w:rPr>
        <w:t xml:space="preserve">aculty and staff recognized in Article IX, Section 2 may copyright their works…” </w:t>
      </w:r>
      <w:r w:rsidR="00C4458C" w:rsidRPr="00251E74">
        <w:rPr>
          <w:rFonts w:ascii="Calibri Light" w:hAnsi="Calibri Light" w:cs="Calibri Light"/>
          <w:kern w:val="0"/>
        </w:rPr>
        <w:t xml:space="preserve">This would extend </w:t>
      </w:r>
      <w:r w:rsidRPr="00251E74">
        <w:rPr>
          <w:rFonts w:ascii="Calibri Light" w:hAnsi="Calibri Light" w:cs="Calibri Light"/>
          <w:kern w:val="0"/>
        </w:rPr>
        <w:t xml:space="preserve">copyright authority to System employees engaged in writing scientific and scholarly works. </w:t>
      </w:r>
    </w:p>
    <w:p w14:paraId="63BFA9B6" w14:textId="77777777" w:rsidR="00AF6FEF" w:rsidRPr="00251E74" w:rsidRDefault="00AF6FEF" w:rsidP="00C9639E">
      <w:pPr>
        <w:spacing w:line="276" w:lineRule="auto"/>
        <w:rPr>
          <w:rFonts w:ascii="Calibri Light" w:hAnsi="Calibri Light" w:cs="Calibri Light"/>
        </w:rPr>
      </w:pPr>
    </w:p>
    <w:sectPr w:rsidR="00AF6FEF" w:rsidRPr="00251E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F1D0A" w14:textId="77777777" w:rsidR="00D76F08" w:rsidRDefault="00D76F08" w:rsidP="00C4147C">
      <w:pPr>
        <w:spacing w:after="0" w:line="240" w:lineRule="auto"/>
      </w:pPr>
      <w:r>
        <w:separator/>
      </w:r>
    </w:p>
  </w:endnote>
  <w:endnote w:type="continuationSeparator" w:id="0">
    <w:p w14:paraId="4FD7DDEC" w14:textId="77777777" w:rsidR="00D76F08" w:rsidRDefault="00D76F08" w:rsidP="00C41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sz w:val="20"/>
        <w:szCs w:val="20"/>
      </w:rPr>
      <w:id w:val="-4214374"/>
      <w:docPartObj>
        <w:docPartGallery w:val="Page Numbers (Bottom of Page)"/>
        <w:docPartUnique/>
      </w:docPartObj>
    </w:sdtPr>
    <w:sdtEndPr>
      <w:rPr>
        <w:color w:val="7F7F7F" w:themeColor="background1" w:themeShade="7F"/>
        <w:spacing w:val="60"/>
      </w:rPr>
    </w:sdtEndPr>
    <w:sdtContent>
      <w:p w14:paraId="541A9873" w14:textId="369FCEA6" w:rsidR="009E3EDD" w:rsidRPr="009E3EDD" w:rsidRDefault="009E3EDD">
        <w:pPr>
          <w:pStyle w:val="Footer"/>
          <w:pBdr>
            <w:top w:val="single" w:sz="4" w:space="1" w:color="D9D9D9" w:themeColor="background1" w:themeShade="D9"/>
          </w:pBdr>
          <w:jc w:val="right"/>
          <w:rPr>
            <w:rFonts w:ascii="Calibri Light" w:hAnsi="Calibri Light" w:cs="Calibri Light"/>
            <w:sz w:val="20"/>
            <w:szCs w:val="20"/>
          </w:rPr>
        </w:pPr>
        <w:r w:rsidRPr="009E3EDD">
          <w:rPr>
            <w:rFonts w:ascii="Calibri Light" w:hAnsi="Calibri Light" w:cs="Calibri Light"/>
            <w:sz w:val="20"/>
            <w:szCs w:val="20"/>
          </w:rPr>
          <w:fldChar w:fldCharType="begin"/>
        </w:r>
        <w:r w:rsidRPr="009E3EDD">
          <w:rPr>
            <w:rFonts w:ascii="Calibri Light" w:hAnsi="Calibri Light" w:cs="Calibri Light"/>
            <w:sz w:val="20"/>
            <w:szCs w:val="20"/>
          </w:rPr>
          <w:instrText xml:space="preserve"> PAGE   \* MERGEFORMAT </w:instrText>
        </w:r>
        <w:r w:rsidRPr="009E3EDD">
          <w:rPr>
            <w:rFonts w:ascii="Calibri Light" w:hAnsi="Calibri Light" w:cs="Calibri Light"/>
            <w:sz w:val="20"/>
            <w:szCs w:val="20"/>
          </w:rPr>
          <w:fldChar w:fldCharType="separate"/>
        </w:r>
        <w:r w:rsidRPr="009E3EDD">
          <w:rPr>
            <w:rFonts w:ascii="Calibri Light" w:hAnsi="Calibri Light" w:cs="Calibri Light"/>
            <w:noProof/>
            <w:sz w:val="20"/>
            <w:szCs w:val="20"/>
          </w:rPr>
          <w:t>2</w:t>
        </w:r>
        <w:r w:rsidRPr="009E3EDD">
          <w:rPr>
            <w:rFonts w:ascii="Calibri Light" w:hAnsi="Calibri Light" w:cs="Calibri Light"/>
            <w:noProof/>
            <w:sz w:val="20"/>
            <w:szCs w:val="20"/>
          </w:rPr>
          <w:fldChar w:fldCharType="end"/>
        </w:r>
        <w:r w:rsidRPr="009E3EDD">
          <w:rPr>
            <w:rFonts w:ascii="Calibri Light" w:hAnsi="Calibri Light" w:cs="Calibri Light"/>
            <w:sz w:val="20"/>
            <w:szCs w:val="20"/>
          </w:rPr>
          <w:t xml:space="preserve"> | </w:t>
        </w:r>
        <w:r w:rsidRPr="009E3EDD">
          <w:rPr>
            <w:rFonts w:ascii="Calibri Light" w:hAnsi="Calibri Light" w:cs="Calibri Light"/>
            <w:color w:val="7F7F7F" w:themeColor="background1" w:themeShade="7F"/>
            <w:spacing w:val="60"/>
            <w:sz w:val="20"/>
            <w:szCs w:val="20"/>
          </w:rPr>
          <w:t>Page</w:t>
        </w:r>
      </w:p>
    </w:sdtContent>
  </w:sdt>
  <w:p w14:paraId="4D1C4579" w14:textId="77777777" w:rsidR="009E3EDD" w:rsidRDefault="009E3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DE782" w14:textId="77777777" w:rsidR="00D76F08" w:rsidRDefault="00D76F08" w:rsidP="00C4147C">
      <w:pPr>
        <w:spacing w:after="0" w:line="240" w:lineRule="auto"/>
      </w:pPr>
      <w:r>
        <w:separator/>
      </w:r>
    </w:p>
  </w:footnote>
  <w:footnote w:type="continuationSeparator" w:id="0">
    <w:p w14:paraId="1E8FE23F" w14:textId="77777777" w:rsidR="00D76F08" w:rsidRDefault="00D76F08" w:rsidP="00C4147C">
      <w:pPr>
        <w:spacing w:after="0" w:line="240" w:lineRule="auto"/>
      </w:pPr>
      <w:r>
        <w:continuationSeparator/>
      </w:r>
    </w:p>
  </w:footnote>
  <w:footnote w:id="1">
    <w:p w14:paraId="217373D2" w14:textId="249FAED6" w:rsidR="00857ACD" w:rsidRPr="006230DE" w:rsidRDefault="00857ACD" w:rsidP="006230DE">
      <w:pPr>
        <w:pStyle w:val="NoSpacing"/>
        <w:rPr>
          <w:rFonts w:ascii="Calibri Light" w:hAnsi="Calibri Light" w:cs="Calibri Light"/>
          <w:sz w:val="20"/>
          <w:szCs w:val="20"/>
        </w:rPr>
      </w:pPr>
      <w:r w:rsidRPr="006230DE">
        <w:rPr>
          <w:rStyle w:val="FootnoteReference"/>
          <w:rFonts w:ascii="Calibri Light" w:hAnsi="Calibri Light" w:cs="Calibri Light"/>
          <w:sz w:val="20"/>
          <w:szCs w:val="20"/>
        </w:rPr>
        <w:footnoteRef/>
      </w:r>
      <w:r w:rsidRPr="006230DE">
        <w:rPr>
          <w:rFonts w:ascii="Calibri Light" w:hAnsi="Calibri Light" w:cs="Calibri Light"/>
          <w:sz w:val="20"/>
          <w:szCs w:val="20"/>
        </w:rPr>
        <w:t xml:space="preserve"> See </w:t>
      </w:r>
      <w:hyperlink r:id="rId1" w:history="1">
        <w:r w:rsidR="00D20B82" w:rsidRPr="006230DE">
          <w:rPr>
            <w:rStyle w:val="Hyperlink"/>
            <w:rFonts w:ascii="Calibri Light" w:hAnsi="Calibri Light" w:cs="Calibri Light"/>
            <w:sz w:val="20"/>
            <w:szCs w:val="20"/>
          </w:rPr>
          <w:t>AAUP 1940 Statement of Principles on Academic Freedom and Tenure with 1970 Interpretive Comments</w:t>
        </w:r>
      </w:hyperlink>
      <w:r w:rsidR="00D20B82" w:rsidRPr="006230DE">
        <w:rPr>
          <w:rFonts w:ascii="Calibri Light" w:hAnsi="Calibri Light" w:cs="Calibri Light"/>
          <w:sz w:val="20"/>
          <w:szCs w:val="20"/>
        </w:rPr>
        <w:t xml:space="preserve">, Comment 2 at page 14. See also, </w:t>
      </w:r>
      <w:hyperlink r:id="rId2" w:history="1">
        <w:r w:rsidR="00C924BC" w:rsidRPr="006230DE">
          <w:rPr>
            <w:rStyle w:val="Hyperlink"/>
            <w:rFonts w:ascii="Calibri Light" w:hAnsi="Calibri Light" w:cs="Calibri Light"/>
            <w:sz w:val="20"/>
            <w:szCs w:val="20"/>
          </w:rPr>
          <w:t>USC Response to University of Illinois-Urbana Advice on ST-83, dated August 5, 2024</w:t>
        </w:r>
      </w:hyperlink>
      <w:r w:rsidRPr="006230DE">
        <w:rPr>
          <w:rFonts w:ascii="Calibri Light" w:hAnsi="Calibri Light" w:cs="Calibri Light"/>
          <w:sz w:val="20"/>
          <w:szCs w:val="20"/>
        </w:rPr>
        <w:t>.</w:t>
      </w:r>
    </w:p>
  </w:footnote>
  <w:footnote w:id="2">
    <w:p w14:paraId="03676520" w14:textId="26528D14" w:rsidR="00CF6293" w:rsidRPr="006230DE" w:rsidRDefault="00CF6293" w:rsidP="006230DE">
      <w:pPr>
        <w:pStyle w:val="NoSpacing"/>
        <w:rPr>
          <w:rFonts w:ascii="Calibri Light" w:hAnsi="Calibri Light" w:cs="Calibri Light"/>
          <w:sz w:val="20"/>
          <w:szCs w:val="20"/>
        </w:rPr>
      </w:pPr>
      <w:r w:rsidRPr="006230DE">
        <w:rPr>
          <w:rStyle w:val="FootnoteReference"/>
          <w:rFonts w:ascii="Calibri Light" w:hAnsi="Calibri Light" w:cs="Calibri Light"/>
          <w:sz w:val="20"/>
          <w:szCs w:val="20"/>
        </w:rPr>
        <w:footnoteRef/>
      </w:r>
      <w:r w:rsidRPr="006230DE">
        <w:rPr>
          <w:rFonts w:ascii="Calibri Light" w:hAnsi="Calibri Light" w:cs="Calibri Light"/>
          <w:sz w:val="20"/>
          <w:szCs w:val="20"/>
        </w:rPr>
        <w:t xml:space="preserve"> Under Article X, Section 6 of the USC Revised version of the System Statutes.</w:t>
      </w:r>
    </w:p>
  </w:footnote>
  <w:footnote w:id="3">
    <w:p w14:paraId="57255296" w14:textId="56B2C9D0" w:rsidR="00267F4B" w:rsidRPr="006230DE" w:rsidRDefault="00267F4B" w:rsidP="006230DE">
      <w:pPr>
        <w:pStyle w:val="NoSpacing"/>
        <w:rPr>
          <w:rFonts w:ascii="Calibri Light" w:hAnsi="Calibri Light" w:cs="Calibri Light"/>
          <w:sz w:val="20"/>
          <w:szCs w:val="20"/>
        </w:rPr>
      </w:pPr>
      <w:r w:rsidRPr="006230DE">
        <w:rPr>
          <w:rStyle w:val="FootnoteReference"/>
          <w:rFonts w:ascii="Calibri Light" w:hAnsi="Calibri Light" w:cs="Calibri Light"/>
          <w:sz w:val="20"/>
          <w:szCs w:val="20"/>
        </w:rPr>
        <w:footnoteRef/>
      </w:r>
      <w:r w:rsidRPr="006230DE">
        <w:rPr>
          <w:rFonts w:ascii="Calibri Light" w:hAnsi="Calibri Light" w:cs="Calibri Light"/>
          <w:sz w:val="20"/>
          <w:szCs w:val="20"/>
        </w:rPr>
        <w:t xml:space="preserve"> </w:t>
      </w:r>
      <w:r w:rsidR="003115C0" w:rsidRPr="006230DE">
        <w:rPr>
          <w:rFonts w:ascii="Calibri Light" w:hAnsi="Calibri Light" w:cs="Calibri Light"/>
          <w:sz w:val="20"/>
          <w:szCs w:val="20"/>
        </w:rPr>
        <w:t xml:space="preserve">See </w:t>
      </w:r>
      <w:hyperlink r:id="rId3" w:history="1">
        <w:r w:rsidR="003115C0" w:rsidRPr="006230DE">
          <w:rPr>
            <w:rStyle w:val="Hyperlink"/>
            <w:rFonts w:ascii="Calibri Light" w:hAnsi="Calibri Light" w:cs="Calibri Light"/>
            <w:sz w:val="20"/>
            <w:szCs w:val="20"/>
          </w:rPr>
          <w:t>AAUP 1940 Statement of Principles on Academic Freedom and Tenure with 1970 Interpretive Comments</w:t>
        </w:r>
      </w:hyperlink>
      <w:r w:rsidR="003115C0" w:rsidRPr="006230DE">
        <w:rPr>
          <w:rFonts w:ascii="Calibri Light" w:hAnsi="Calibri Light" w:cs="Calibri Light"/>
          <w:sz w:val="20"/>
          <w:szCs w:val="20"/>
        </w:rPr>
        <w:t xml:space="preserve">, Comment 2 at page 14. See also, </w:t>
      </w:r>
      <w:hyperlink r:id="rId4" w:history="1">
        <w:r w:rsidR="003115C0" w:rsidRPr="006230DE">
          <w:rPr>
            <w:rStyle w:val="Hyperlink"/>
            <w:rFonts w:ascii="Calibri Light" w:hAnsi="Calibri Light" w:cs="Calibri Light"/>
            <w:sz w:val="20"/>
            <w:szCs w:val="20"/>
          </w:rPr>
          <w:t>USC Response to University of Illinois-Urbana Advice on ST-83, dated August 5, 2024</w:t>
        </w:r>
      </w:hyperlink>
      <w:r w:rsidR="003115C0" w:rsidRPr="006230DE">
        <w:rPr>
          <w:rFonts w:ascii="Calibri Light" w:hAnsi="Calibri Light" w:cs="Calibri Light"/>
          <w:sz w:val="20"/>
          <w:szCs w:val="20"/>
        </w:rPr>
        <w:t>.</w:t>
      </w:r>
    </w:p>
  </w:footnote>
  <w:footnote w:id="4">
    <w:p w14:paraId="3B397235" w14:textId="77777777" w:rsidR="00CC0881" w:rsidRPr="006230DE" w:rsidRDefault="00CC0881" w:rsidP="006230DE">
      <w:pPr>
        <w:pStyle w:val="NoSpacing"/>
        <w:rPr>
          <w:rFonts w:ascii="Calibri Light" w:hAnsi="Calibri Light" w:cs="Calibri Light"/>
          <w:sz w:val="20"/>
          <w:szCs w:val="20"/>
        </w:rPr>
      </w:pPr>
      <w:r w:rsidRPr="006230DE">
        <w:rPr>
          <w:rStyle w:val="FootnoteReference"/>
          <w:rFonts w:ascii="Calibri Light" w:hAnsi="Calibri Light" w:cs="Calibri Light"/>
          <w:sz w:val="20"/>
          <w:szCs w:val="20"/>
        </w:rPr>
        <w:footnoteRef/>
      </w:r>
      <w:r w:rsidRPr="006230DE">
        <w:rPr>
          <w:rFonts w:ascii="Calibri Light" w:hAnsi="Calibri Light" w:cs="Calibri Light"/>
          <w:sz w:val="20"/>
          <w:szCs w:val="20"/>
        </w:rPr>
        <w:t xml:space="preserve"> University Statutes at page 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7F63"/>
    <w:multiLevelType w:val="hybridMultilevel"/>
    <w:tmpl w:val="AC82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247FC"/>
    <w:multiLevelType w:val="hybridMultilevel"/>
    <w:tmpl w:val="0A022D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772C4"/>
    <w:multiLevelType w:val="hybridMultilevel"/>
    <w:tmpl w:val="29364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944AA"/>
    <w:multiLevelType w:val="hybridMultilevel"/>
    <w:tmpl w:val="F8EC27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A43D6A"/>
    <w:multiLevelType w:val="multilevel"/>
    <w:tmpl w:val="9A86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84570"/>
    <w:multiLevelType w:val="hybridMultilevel"/>
    <w:tmpl w:val="1CE86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24B57"/>
    <w:multiLevelType w:val="hybridMultilevel"/>
    <w:tmpl w:val="20940E3E"/>
    <w:lvl w:ilvl="0" w:tplc="AC40A998">
      <w:start w:val="1"/>
      <w:numFmt w:val="bullet"/>
      <w:lvlText w:val=""/>
      <w:lvlJc w:val="left"/>
      <w:pPr>
        <w:ind w:left="1440" w:hanging="360"/>
      </w:pPr>
      <w:rPr>
        <w:rFonts w:ascii="Symbol" w:hAnsi="Symbol"/>
      </w:rPr>
    </w:lvl>
    <w:lvl w:ilvl="1" w:tplc="9D38DD18">
      <w:start w:val="1"/>
      <w:numFmt w:val="bullet"/>
      <w:lvlText w:val=""/>
      <w:lvlJc w:val="left"/>
      <w:pPr>
        <w:ind w:left="1440" w:hanging="360"/>
      </w:pPr>
      <w:rPr>
        <w:rFonts w:ascii="Symbol" w:hAnsi="Symbol"/>
      </w:rPr>
    </w:lvl>
    <w:lvl w:ilvl="2" w:tplc="97565DD0">
      <w:start w:val="1"/>
      <w:numFmt w:val="bullet"/>
      <w:lvlText w:val=""/>
      <w:lvlJc w:val="left"/>
      <w:pPr>
        <w:ind w:left="1440" w:hanging="360"/>
      </w:pPr>
      <w:rPr>
        <w:rFonts w:ascii="Symbol" w:hAnsi="Symbol"/>
      </w:rPr>
    </w:lvl>
    <w:lvl w:ilvl="3" w:tplc="7138D49E">
      <w:start w:val="1"/>
      <w:numFmt w:val="bullet"/>
      <w:lvlText w:val=""/>
      <w:lvlJc w:val="left"/>
      <w:pPr>
        <w:ind w:left="1440" w:hanging="360"/>
      </w:pPr>
      <w:rPr>
        <w:rFonts w:ascii="Symbol" w:hAnsi="Symbol"/>
      </w:rPr>
    </w:lvl>
    <w:lvl w:ilvl="4" w:tplc="4800A9D2">
      <w:start w:val="1"/>
      <w:numFmt w:val="bullet"/>
      <w:lvlText w:val=""/>
      <w:lvlJc w:val="left"/>
      <w:pPr>
        <w:ind w:left="1440" w:hanging="360"/>
      </w:pPr>
      <w:rPr>
        <w:rFonts w:ascii="Symbol" w:hAnsi="Symbol"/>
      </w:rPr>
    </w:lvl>
    <w:lvl w:ilvl="5" w:tplc="7660C6B8">
      <w:start w:val="1"/>
      <w:numFmt w:val="bullet"/>
      <w:lvlText w:val=""/>
      <w:lvlJc w:val="left"/>
      <w:pPr>
        <w:ind w:left="1440" w:hanging="360"/>
      </w:pPr>
      <w:rPr>
        <w:rFonts w:ascii="Symbol" w:hAnsi="Symbol"/>
      </w:rPr>
    </w:lvl>
    <w:lvl w:ilvl="6" w:tplc="0A0E0510">
      <w:start w:val="1"/>
      <w:numFmt w:val="bullet"/>
      <w:lvlText w:val=""/>
      <w:lvlJc w:val="left"/>
      <w:pPr>
        <w:ind w:left="1440" w:hanging="360"/>
      </w:pPr>
      <w:rPr>
        <w:rFonts w:ascii="Symbol" w:hAnsi="Symbol"/>
      </w:rPr>
    </w:lvl>
    <w:lvl w:ilvl="7" w:tplc="8BCA6C7E">
      <w:start w:val="1"/>
      <w:numFmt w:val="bullet"/>
      <w:lvlText w:val=""/>
      <w:lvlJc w:val="left"/>
      <w:pPr>
        <w:ind w:left="1440" w:hanging="360"/>
      </w:pPr>
      <w:rPr>
        <w:rFonts w:ascii="Symbol" w:hAnsi="Symbol"/>
      </w:rPr>
    </w:lvl>
    <w:lvl w:ilvl="8" w:tplc="A3A2EA54">
      <w:start w:val="1"/>
      <w:numFmt w:val="bullet"/>
      <w:lvlText w:val=""/>
      <w:lvlJc w:val="left"/>
      <w:pPr>
        <w:ind w:left="1440" w:hanging="360"/>
      </w:pPr>
      <w:rPr>
        <w:rFonts w:ascii="Symbol" w:hAnsi="Symbol"/>
      </w:rPr>
    </w:lvl>
  </w:abstractNum>
  <w:abstractNum w:abstractNumId="7" w15:restartNumberingAfterBreak="0">
    <w:nsid w:val="21323F92"/>
    <w:multiLevelType w:val="hybridMultilevel"/>
    <w:tmpl w:val="2C74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80AA7"/>
    <w:multiLevelType w:val="hybridMultilevel"/>
    <w:tmpl w:val="9E6E4908"/>
    <w:lvl w:ilvl="0" w:tplc="2A00AFB0">
      <w:start w:val="1"/>
      <w:numFmt w:val="bullet"/>
      <w:lvlText w:val=""/>
      <w:lvlJc w:val="left"/>
      <w:pPr>
        <w:ind w:left="1440" w:hanging="360"/>
      </w:pPr>
      <w:rPr>
        <w:rFonts w:ascii="Symbol" w:hAnsi="Symbol"/>
      </w:rPr>
    </w:lvl>
    <w:lvl w:ilvl="1" w:tplc="7B12E904">
      <w:start w:val="1"/>
      <w:numFmt w:val="bullet"/>
      <w:lvlText w:val=""/>
      <w:lvlJc w:val="left"/>
      <w:pPr>
        <w:ind w:left="1440" w:hanging="360"/>
      </w:pPr>
      <w:rPr>
        <w:rFonts w:ascii="Symbol" w:hAnsi="Symbol"/>
      </w:rPr>
    </w:lvl>
    <w:lvl w:ilvl="2" w:tplc="D11A5A26">
      <w:start w:val="1"/>
      <w:numFmt w:val="bullet"/>
      <w:lvlText w:val=""/>
      <w:lvlJc w:val="left"/>
      <w:pPr>
        <w:ind w:left="1440" w:hanging="360"/>
      </w:pPr>
      <w:rPr>
        <w:rFonts w:ascii="Symbol" w:hAnsi="Symbol"/>
      </w:rPr>
    </w:lvl>
    <w:lvl w:ilvl="3" w:tplc="D460FEE4">
      <w:start w:val="1"/>
      <w:numFmt w:val="bullet"/>
      <w:lvlText w:val=""/>
      <w:lvlJc w:val="left"/>
      <w:pPr>
        <w:ind w:left="1440" w:hanging="360"/>
      </w:pPr>
      <w:rPr>
        <w:rFonts w:ascii="Symbol" w:hAnsi="Symbol"/>
      </w:rPr>
    </w:lvl>
    <w:lvl w:ilvl="4" w:tplc="284AFF72">
      <w:start w:val="1"/>
      <w:numFmt w:val="bullet"/>
      <w:lvlText w:val=""/>
      <w:lvlJc w:val="left"/>
      <w:pPr>
        <w:ind w:left="1440" w:hanging="360"/>
      </w:pPr>
      <w:rPr>
        <w:rFonts w:ascii="Symbol" w:hAnsi="Symbol"/>
      </w:rPr>
    </w:lvl>
    <w:lvl w:ilvl="5" w:tplc="3B661C18">
      <w:start w:val="1"/>
      <w:numFmt w:val="bullet"/>
      <w:lvlText w:val=""/>
      <w:lvlJc w:val="left"/>
      <w:pPr>
        <w:ind w:left="1440" w:hanging="360"/>
      </w:pPr>
      <w:rPr>
        <w:rFonts w:ascii="Symbol" w:hAnsi="Symbol"/>
      </w:rPr>
    </w:lvl>
    <w:lvl w:ilvl="6" w:tplc="0906831A">
      <w:start w:val="1"/>
      <w:numFmt w:val="bullet"/>
      <w:lvlText w:val=""/>
      <w:lvlJc w:val="left"/>
      <w:pPr>
        <w:ind w:left="1440" w:hanging="360"/>
      </w:pPr>
      <w:rPr>
        <w:rFonts w:ascii="Symbol" w:hAnsi="Symbol"/>
      </w:rPr>
    </w:lvl>
    <w:lvl w:ilvl="7" w:tplc="E1EA7462">
      <w:start w:val="1"/>
      <w:numFmt w:val="bullet"/>
      <w:lvlText w:val=""/>
      <w:lvlJc w:val="left"/>
      <w:pPr>
        <w:ind w:left="1440" w:hanging="360"/>
      </w:pPr>
      <w:rPr>
        <w:rFonts w:ascii="Symbol" w:hAnsi="Symbol"/>
      </w:rPr>
    </w:lvl>
    <w:lvl w:ilvl="8" w:tplc="43707EE2">
      <w:start w:val="1"/>
      <w:numFmt w:val="bullet"/>
      <w:lvlText w:val=""/>
      <w:lvlJc w:val="left"/>
      <w:pPr>
        <w:ind w:left="1440" w:hanging="360"/>
      </w:pPr>
      <w:rPr>
        <w:rFonts w:ascii="Symbol" w:hAnsi="Symbol"/>
      </w:rPr>
    </w:lvl>
  </w:abstractNum>
  <w:abstractNum w:abstractNumId="9" w15:restartNumberingAfterBreak="0">
    <w:nsid w:val="30B12163"/>
    <w:multiLevelType w:val="hybridMultilevel"/>
    <w:tmpl w:val="363E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B4A51"/>
    <w:multiLevelType w:val="hybridMultilevel"/>
    <w:tmpl w:val="2A103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6A4A63"/>
    <w:multiLevelType w:val="hybridMultilevel"/>
    <w:tmpl w:val="EFC4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4C3CB1"/>
    <w:multiLevelType w:val="hybridMultilevel"/>
    <w:tmpl w:val="656A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D86F55"/>
    <w:multiLevelType w:val="hybridMultilevel"/>
    <w:tmpl w:val="E64A5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3864"/>
    <w:multiLevelType w:val="hybridMultilevel"/>
    <w:tmpl w:val="21507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ED1D3A"/>
    <w:multiLevelType w:val="hybridMultilevel"/>
    <w:tmpl w:val="BFA82382"/>
    <w:lvl w:ilvl="0" w:tplc="89A27CD6">
      <w:start w:val="1"/>
      <w:numFmt w:val="bullet"/>
      <w:lvlText w:val=""/>
      <w:lvlJc w:val="left"/>
      <w:pPr>
        <w:ind w:left="1440" w:hanging="360"/>
      </w:pPr>
      <w:rPr>
        <w:rFonts w:ascii="Symbol" w:hAnsi="Symbol"/>
      </w:rPr>
    </w:lvl>
    <w:lvl w:ilvl="1" w:tplc="A030C658">
      <w:start w:val="1"/>
      <w:numFmt w:val="bullet"/>
      <w:lvlText w:val=""/>
      <w:lvlJc w:val="left"/>
      <w:pPr>
        <w:ind w:left="1440" w:hanging="360"/>
      </w:pPr>
      <w:rPr>
        <w:rFonts w:ascii="Symbol" w:hAnsi="Symbol"/>
      </w:rPr>
    </w:lvl>
    <w:lvl w:ilvl="2" w:tplc="AC3271C8">
      <w:start w:val="1"/>
      <w:numFmt w:val="bullet"/>
      <w:lvlText w:val=""/>
      <w:lvlJc w:val="left"/>
      <w:pPr>
        <w:ind w:left="1440" w:hanging="360"/>
      </w:pPr>
      <w:rPr>
        <w:rFonts w:ascii="Symbol" w:hAnsi="Symbol"/>
      </w:rPr>
    </w:lvl>
    <w:lvl w:ilvl="3" w:tplc="8B4C5BFA">
      <w:start w:val="1"/>
      <w:numFmt w:val="bullet"/>
      <w:lvlText w:val=""/>
      <w:lvlJc w:val="left"/>
      <w:pPr>
        <w:ind w:left="1440" w:hanging="360"/>
      </w:pPr>
      <w:rPr>
        <w:rFonts w:ascii="Symbol" w:hAnsi="Symbol"/>
      </w:rPr>
    </w:lvl>
    <w:lvl w:ilvl="4" w:tplc="EB3297F4">
      <w:start w:val="1"/>
      <w:numFmt w:val="bullet"/>
      <w:lvlText w:val=""/>
      <w:lvlJc w:val="left"/>
      <w:pPr>
        <w:ind w:left="1440" w:hanging="360"/>
      </w:pPr>
      <w:rPr>
        <w:rFonts w:ascii="Symbol" w:hAnsi="Symbol"/>
      </w:rPr>
    </w:lvl>
    <w:lvl w:ilvl="5" w:tplc="020AB432">
      <w:start w:val="1"/>
      <w:numFmt w:val="bullet"/>
      <w:lvlText w:val=""/>
      <w:lvlJc w:val="left"/>
      <w:pPr>
        <w:ind w:left="1440" w:hanging="360"/>
      </w:pPr>
      <w:rPr>
        <w:rFonts w:ascii="Symbol" w:hAnsi="Symbol"/>
      </w:rPr>
    </w:lvl>
    <w:lvl w:ilvl="6" w:tplc="4E50A5EE">
      <w:start w:val="1"/>
      <w:numFmt w:val="bullet"/>
      <w:lvlText w:val=""/>
      <w:lvlJc w:val="left"/>
      <w:pPr>
        <w:ind w:left="1440" w:hanging="360"/>
      </w:pPr>
      <w:rPr>
        <w:rFonts w:ascii="Symbol" w:hAnsi="Symbol"/>
      </w:rPr>
    </w:lvl>
    <w:lvl w:ilvl="7" w:tplc="4A60DD30">
      <w:start w:val="1"/>
      <w:numFmt w:val="bullet"/>
      <w:lvlText w:val=""/>
      <w:lvlJc w:val="left"/>
      <w:pPr>
        <w:ind w:left="1440" w:hanging="360"/>
      </w:pPr>
      <w:rPr>
        <w:rFonts w:ascii="Symbol" w:hAnsi="Symbol"/>
      </w:rPr>
    </w:lvl>
    <w:lvl w:ilvl="8" w:tplc="35CAD97E">
      <w:start w:val="1"/>
      <w:numFmt w:val="bullet"/>
      <w:lvlText w:val=""/>
      <w:lvlJc w:val="left"/>
      <w:pPr>
        <w:ind w:left="1440" w:hanging="360"/>
      </w:pPr>
      <w:rPr>
        <w:rFonts w:ascii="Symbol" w:hAnsi="Symbol"/>
      </w:rPr>
    </w:lvl>
  </w:abstractNum>
  <w:abstractNum w:abstractNumId="16" w15:restartNumberingAfterBreak="0">
    <w:nsid w:val="66C90A26"/>
    <w:multiLevelType w:val="hybridMultilevel"/>
    <w:tmpl w:val="1D5A7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5C0EDA"/>
    <w:multiLevelType w:val="hybridMultilevel"/>
    <w:tmpl w:val="4350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04A90"/>
    <w:multiLevelType w:val="hybridMultilevel"/>
    <w:tmpl w:val="7BD6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734644">
    <w:abstractNumId w:val="9"/>
  </w:num>
  <w:num w:numId="2" w16cid:durableId="1849174083">
    <w:abstractNumId w:val="13"/>
  </w:num>
  <w:num w:numId="3" w16cid:durableId="201019454">
    <w:abstractNumId w:val="7"/>
  </w:num>
  <w:num w:numId="4" w16cid:durableId="1402365638">
    <w:abstractNumId w:val="0"/>
  </w:num>
  <w:num w:numId="5" w16cid:durableId="649868486">
    <w:abstractNumId w:val="15"/>
  </w:num>
  <w:num w:numId="6" w16cid:durableId="1425035621">
    <w:abstractNumId w:val="12"/>
  </w:num>
  <w:num w:numId="7" w16cid:durableId="249193111">
    <w:abstractNumId w:val="2"/>
  </w:num>
  <w:num w:numId="8" w16cid:durableId="88739563">
    <w:abstractNumId w:val="4"/>
  </w:num>
  <w:num w:numId="9" w16cid:durableId="1147208846">
    <w:abstractNumId w:val="14"/>
  </w:num>
  <w:num w:numId="10" w16cid:durableId="870655935">
    <w:abstractNumId w:val="17"/>
  </w:num>
  <w:num w:numId="11" w16cid:durableId="252399228">
    <w:abstractNumId w:val="10"/>
  </w:num>
  <w:num w:numId="12" w16cid:durableId="1816875229">
    <w:abstractNumId w:val="18"/>
  </w:num>
  <w:num w:numId="13" w16cid:durableId="305010442">
    <w:abstractNumId w:val="1"/>
  </w:num>
  <w:num w:numId="14" w16cid:durableId="1559973541">
    <w:abstractNumId w:val="16"/>
  </w:num>
  <w:num w:numId="15" w16cid:durableId="360207304">
    <w:abstractNumId w:val="6"/>
  </w:num>
  <w:num w:numId="16" w16cid:durableId="58137169">
    <w:abstractNumId w:val="8"/>
  </w:num>
  <w:num w:numId="17" w16cid:durableId="1064527346">
    <w:abstractNumId w:val="11"/>
  </w:num>
  <w:num w:numId="18" w16cid:durableId="1006789625">
    <w:abstractNumId w:val="5"/>
  </w:num>
  <w:num w:numId="19" w16cid:durableId="300770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13"/>
    <w:rsid w:val="000074C7"/>
    <w:rsid w:val="00015E10"/>
    <w:rsid w:val="00016FD0"/>
    <w:rsid w:val="000210F9"/>
    <w:rsid w:val="00023250"/>
    <w:rsid w:val="00023422"/>
    <w:rsid w:val="00024F59"/>
    <w:rsid w:val="00024F77"/>
    <w:rsid w:val="00030404"/>
    <w:rsid w:val="0003476E"/>
    <w:rsid w:val="0004183F"/>
    <w:rsid w:val="00042598"/>
    <w:rsid w:val="00042BE8"/>
    <w:rsid w:val="00042D0A"/>
    <w:rsid w:val="00047649"/>
    <w:rsid w:val="0005177E"/>
    <w:rsid w:val="00051C57"/>
    <w:rsid w:val="00056E82"/>
    <w:rsid w:val="00061285"/>
    <w:rsid w:val="00061A1F"/>
    <w:rsid w:val="00064D4C"/>
    <w:rsid w:val="00064FD5"/>
    <w:rsid w:val="0007629B"/>
    <w:rsid w:val="00076A44"/>
    <w:rsid w:val="00080117"/>
    <w:rsid w:val="0008782C"/>
    <w:rsid w:val="000976CA"/>
    <w:rsid w:val="000A0571"/>
    <w:rsid w:val="000A0E22"/>
    <w:rsid w:val="000A3095"/>
    <w:rsid w:val="000A6CD4"/>
    <w:rsid w:val="000B01E8"/>
    <w:rsid w:val="000B5899"/>
    <w:rsid w:val="000C0B89"/>
    <w:rsid w:val="000D087D"/>
    <w:rsid w:val="000D763B"/>
    <w:rsid w:val="000E02F0"/>
    <w:rsid w:val="000F689C"/>
    <w:rsid w:val="000F6DA0"/>
    <w:rsid w:val="00111EC2"/>
    <w:rsid w:val="00116AEB"/>
    <w:rsid w:val="00117871"/>
    <w:rsid w:val="0012061E"/>
    <w:rsid w:val="00124048"/>
    <w:rsid w:val="00126A6E"/>
    <w:rsid w:val="00127EB5"/>
    <w:rsid w:val="00131DF3"/>
    <w:rsid w:val="00132353"/>
    <w:rsid w:val="00134850"/>
    <w:rsid w:val="00135ECE"/>
    <w:rsid w:val="001361AB"/>
    <w:rsid w:val="001375DC"/>
    <w:rsid w:val="00137966"/>
    <w:rsid w:val="00140B69"/>
    <w:rsid w:val="001537CD"/>
    <w:rsid w:val="00153AA1"/>
    <w:rsid w:val="001541B3"/>
    <w:rsid w:val="001554E5"/>
    <w:rsid w:val="00162F56"/>
    <w:rsid w:val="0016480C"/>
    <w:rsid w:val="001700BB"/>
    <w:rsid w:val="00184646"/>
    <w:rsid w:val="00185AC7"/>
    <w:rsid w:val="00185B5C"/>
    <w:rsid w:val="00187499"/>
    <w:rsid w:val="00192F24"/>
    <w:rsid w:val="001A6EA4"/>
    <w:rsid w:val="001B08A3"/>
    <w:rsid w:val="001C2207"/>
    <w:rsid w:val="001D2042"/>
    <w:rsid w:val="001D2F46"/>
    <w:rsid w:val="001D42EA"/>
    <w:rsid w:val="001D4CE6"/>
    <w:rsid w:val="001F0B2C"/>
    <w:rsid w:val="001F6B23"/>
    <w:rsid w:val="001F737F"/>
    <w:rsid w:val="00201018"/>
    <w:rsid w:val="00205F8C"/>
    <w:rsid w:val="00206ABC"/>
    <w:rsid w:val="00210C15"/>
    <w:rsid w:val="0021499F"/>
    <w:rsid w:val="002152B5"/>
    <w:rsid w:val="0021599B"/>
    <w:rsid w:val="00215C82"/>
    <w:rsid w:val="00220344"/>
    <w:rsid w:val="00221C98"/>
    <w:rsid w:val="002226C7"/>
    <w:rsid w:val="00223606"/>
    <w:rsid w:val="00231809"/>
    <w:rsid w:val="00231DB7"/>
    <w:rsid w:val="002333C1"/>
    <w:rsid w:val="0023386B"/>
    <w:rsid w:val="00234407"/>
    <w:rsid w:val="0023461F"/>
    <w:rsid w:val="0024071D"/>
    <w:rsid w:val="00250D2E"/>
    <w:rsid w:val="00251E74"/>
    <w:rsid w:val="00262105"/>
    <w:rsid w:val="00264226"/>
    <w:rsid w:val="00267F4B"/>
    <w:rsid w:val="002833D4"/>
    <w:rsid w:val="0028345A"/>
    <w:rsid w:val="00285423"/>
    <w:rsid w:val="00286164"/>
    <w:rsid w:val="00287398"/>
    <w:rsid w:val="00290E14"/>
    <w:rsid w:val="00291805"/>
    <w:rsid w:val="002A2447"/>
    <w:rsid w:val="002A47D9"/>
    <w:rsid w:val="002A4958"/>
    <w:rsid w:val="002A7DCF"/>
    <w:rsid w:val="002B0BFC"/>
    <w:rsid w:val="002B304F"/>
    <w:rsid w:val="002B5DB3"/>
    <w:rsid w:val="002B7594"/>
    <w:rsid w:val="002C52A4"/>
    <w:rsid w:val="002D32FE"/>
    <w:rsid w:val="002D6E8F"/>
    <w:rsid w:val="002D7293"/>
    <w:rsid w:val="002D779B"/>
    <w:rsid w:val="003018E8"/>
    <w:rsid w:val="003112C7"/>
    <w:rsid w:val="003115C0"/>
    <w:rsid w:val="003155E5"/>
    <w:rsid w:val="003233BE"/>
    <w:rsid w:val="00331D26"/>
    <w:rsid w:val="00334A60"/>
    <w:rsid w:val="00341388"/>
    <w:rsid w:val="00343C68"/>
    <w:rsid w:val="0035434A"/>
    <w:rsid w:val="00363370"/>
    <w:rsid w:val="0036541B"/>
    <w:rsid w:val="00374F58"/>
    <w:rsid w:val="00396DF8"/>
    <w:rsid w:val="00397644"/>
    <w:rsid w:val="003A4B4B"/>
    <w:rsid w:val="003B0BB5"/>
    <w:rsid w:val="003C1B77"/>
    <w:rsid w:val="003C1E7D"/>
    <w:rsid w:val="003D444A"/>
    <w:rsid w:val="003D6018"/>
    <w:rsid w:val="003D63D0"/>
    <w:rsid w:val="003E1118"/>
    <w:rsid w:val="003E1154"/>
    <w:rsid w:val="003F3B75"/>
    <w:rsid w:val="004016CE"/>
    <w:rsid w:val="00401F5C"/>
    <w:rsid w:val="004025C5"/>
    <w:rsid w:val="0040283C"/>
    <w:rsid w:val="004035F0"/>
    <w:rsid w:val="00404D29"/>
    <w:rsid w:val="004058A9"/>
    <w:rsid w:val="0040591D"/>
    <w:rsid w:val="0040643E"/>
    <w:rsid w:val="00413A98"/>
    <w:rsid w:val="004148AC"/>
    <w:rsid w:val="00437D89"/>
    <w:rsid w:val="004419D8"/>
    <w:rsid w:val="00444A4F"/>
    <w:rsid w:val="00445436"/>
    <w:rsid w:val="004500E5"/>
    <w:rsid w:val="00450B5E"/>
    <w:rsid w:val="004641C8"/>
    <w:rsid w:val="00465AE8"/>
    <w:rsid w:val="00474018"/>
    <w:rsid w:val="00477D48"/>
    <w:rsid w:val="00493732"/>
    <w:rsid w:val="00497F39"/>
    <w:rsid w:val="004A2ADA"/>
    <w:rsid w:val="004A52A0"/>
    <w:rsid w:val="004B2AE4"/>
    <w:rsid w:val="004B5769"/>
    <w:rsid w:val="004B5C40"/>
    <w:rsid w:val="004C0529"/>
    <w:rsid w:val="004C086B"/>
    <w:rsid w:val="004D2618"/>
    <w:rsid w:val="004D27E6"/>
    <w:rsid w:val="004D5A7D"/>
    <w:rsid w:val="004D7791"/>
    <w:rsid w:val="004E0F85"/>
    <w:rsid w:val="004E3A6E"/>
    <w:rsid w:val="004F3AA5"/>
    <w:rsid w:val="004F5B3A"/>
    <w:rsid w:val="00506252"/>
    <w:rsid w:val="00507D81"/>
    <w:rsid w:val="0051639A"/>
    <w:rsid w:val="005203AB"/>
    <w:rsid w:val="00522222"/>
    <w:rsid w:val="00530719"/>
    <w:rsid w:val="0053670B"/>
    <w:rsid w:val="00540E9B"/>
    <w:rsid w:val="0054304E"/>
    <w:rsid w:val="005440B0"/>
    <w:rsid w:val="00546FE4"/>
    <w:rsid w:val="005506D1"/>
    <w:rsid w:val="005700B5"/>
    <w:rsid w:val="005707D1"/>
    <w:rsid w:val="00571360"/>
    <w:rsid w:val="0057666F"/>
    <w:rsid w:val="00581E23"/>
    <w:rsid w:val="0058467A"/>
    <w:rsid w:val="00584AA9"/>
    <w:rsid w:val="0059140F"/>
    <w:rsid w:val="005934C6"/>
    <w:rsid w:val="005A1478"/>
    <w:rsid w:val="005B3C51"/>
    <w:rsid w:val="005B5C43"/>
    <w:rsid w:val="005B7976"/>
    <w:rsid w:val="005B7C7F"/>
    <w:rsid w:val="005C00E8"/>
    <w:rsid w:val="005C042E"/>
    <w:rsid w:val="005C2B77"/>
    <w:rsid w:val="005C4687"/>
    <w:rsid w:val="005C6134"/>
    <w:rsid w:val="005D5E95"/>
    <w:rsid w:val="005D6829"/>
    <w:rsid w:val="005E15C0"/>
    <w:rsid w:val="005E69FE"/>
    <w:rsid w:val="005F42BB"/>
    <w:rsid w:val="005F52CF"/>
    <w:rsid w:val="0061235D"/>
    <w:rsid w:val="00612CDC"/>
    <w:rsid w:val="00614611"/>
    <w:rsid w:val="006168E9"/>
    <w:rsid w:val="00621C8E"/>
    <w:rsid w:val="006230DE"/>
    <w:rsid w:val="00626223"/>
    <w:rsid w:val="006342D8"/>
    <w:rsid w:val="006461E4"/>
    <w:rsid w:val="0065552C"/>
    <w:rsid w:val="00657D71"/>
    <w:rsid w:val="0066130B"/>
    <w:rsid w:val="00662D23"/>
    <w:rsid w:val="00670885"/>
    <w:rsid w:val="00672ACE"/>
    <w:rsid w:val="00675C7B"/>
    <w:rsid w:val="00690FD4"/>
    <w:rsid w:val="006A0BB2"/>
    <w:rsid w:val="006A4AF0"/>
    <w:rsid w:val="006B0451"/>
    <w:rsid w:val="006B63DA"/>
    <w:rsid w:val="006D527C"/>
    <w:rsid w:val="006E14FF"/>
    <w:rsid w:val="006E5DCA"/>
    <w:rsid w:val="006F3768"/>
    <w:rsid w:val="006F5AB5"/>
    <w:rsid w:val="00703137"/>
    <w:rsid w:val="00712501"/>
    <w:rsid w:val="00722F05"/>
    <w:rsid w:val="00723FBE"/>
    <w:rsid w:val="007260B4"/>
    <w:rsid w:val="00727097"/>
    <w:rsid w:val="00731454"/>
    <w:rsid w:val="007315B9"/>
    <w:rsid w:val="00731D59"/>
    <w:rsid w:val="00735C7D"/>
    <w:rsid w:val="007400B3"/>
    <w:rsid w:val="00760DBE"/>
    <w:rsid w:val="00763970"/>
    <w:rsid w:val="0076777B"/>
    <w:rsid w:val="007741BA"/>
    <w:rsid w:val="00776D2B"/>
    <w:rsid w:val="00786B52"/>
    <w:rsid w:val="0078736D"/>
    <w:rsid w:val="0079032A"/>
    <w:rsid w:val="00796D40"/>
    <w:rsid w:val="007976A8"/>
    <w:rsid w:val="007A23ED"/>
    <w:rsid w:val="007A5D20"/>
    <w:rsid w:val="007A6304"/>
    <w:rsid w:val="007B056B"/>
    <w:rsid w:val="007B4CB6"/>
    <w:rsid w:val="007B50C4"/>
    <w:rsid w:val="007B5D51"/>
    <w:rsid w:val="007B5F72"/>
    <w:rsid w:val="007B6125"/>
    <w:rsid w:val="007B669E"/>
    <w:rsid w:val="007C4176"/>
    <w:rsid w:val="007D03BE"/>
    <w:rsid w:val="007D2E1D"/>
    <w:rsid w:val="007D53CC"/>
    <w:rsid w:val="007E6D2D"/>
    <w:rsid w:val="007F3229"/>
    <w:rsid w:val="007F7FA6"/>
    <w:rsid w:val="008017FC"/>
    <w:rsid w:val="00802673"/>
    <w:rsid w:val="008075D9"/>
    <w:rsid w:val="00812C95"/>
    <w:rsid w:val="0082232C"/>
    <w:rsid w:val="00822F72"/>
    <w:rsid w:val="00831ECD"/>
    <w:rsid w:val="00832948"/>
    <w:rsid w:val="00833874"/>
    <w:rsid w:val="008453E2"/>
    <w:rsid w:val="0084576E"/>
    <w:rsid w:val="00845DB2"/>
    <w:rsid w:val="00856320"/>
    <w:rsid w:val="00857ACD"/>
    <w:rsid w:val="00860282"/>
    <w:rsid w:val="00862FC1"/>
    <w:rsid w:val="00866E1A"/>
    <w:rsid w:val="00867B08"/>
    <w:rsid w:val="00877212"/>
    <w:rsid w:val="0088219A"/>
    <w:rsid w:val="008950E8"/>
    <w:rsid w:val="008A3CF6"/>
    <w:rsid w:val="008B1657"/>
    <w:rsid w:val="008B18B0"/>
    <w:rsid w:val="008B5E5A"/>
    <w:rsid w:val="008B6D6A"/>
    <w:rsid w:val="008B6D75"/>
    <w:rsid w:val="008B7F08"/>
    <w:rsid w:val="008D58D4"/>
    <w:rsid w:val="008E08DF"/>
    <w:rsid w:val="008E1E99"/>
    <w:rsid w:val="008E2435"/>
    <w:rsid w:val="008E609D"/>
    <w:rsid w:val="008E7A58"/>
    <w:rsid w:val="008F03C0"/>
    <w:rsid w:val="008F09D7"/>
    <w:rsid w:val="008F24D4"/>
    <w:rsid w:val="0090125C"/>
    <w:rsid w:val="00903570"/>
    <w:rsid w:val="00904A8F"/>
    <w:rsid w:val="00907813"/>
    <w:rsid w:val="00907854"/>
    <w:rsid w:val="00914668"/>
    <w:rsid w:val="00916936"/>
    <w:rsid w:val="00926907"/>
    <w:rsid w:val="0092787E"/>
    <w:rsid w:val="009300FF"/>
    <w:rsid w:val="00931DFE"/>
    <w:rsid w:val="0093515A"/>
    <w:rsid w:val="00936449"/>
    <w:rsid w:val="00940F74"/>
    <w:rsid w:val="00941499"/>
    <w:rsid w:val="009450D9"/>
    <w:rsid w:val="00947BF5"/>
    <w:rsid w:val="00947D50"/>
    <w:rsid w:val="0095336B"/>
    <w:rsid w:val="00961097"/>
    <w:rsid w:val="00964089"/>
    <w:rsid w:val="0096529E"/>
    <w:rsid w:val="0097216D"/>
    <w:rsid w:val="00976E3E"/>
    <w:rsid w:val="009832F4"/>
    <w:rsid w:val="00987727"/>
    <w:rsid w:val="00991C95"/>
    <w:rsid w:val="009959FD"/>
    <w:rsid w:val="00996C3B"/>
    <w:rsid w:val="009A1A0F"/>
    <w:rsid w:val="009B2A3F"/>
    <w:rsid w:val="009B35DF"/>
    <w:rsid w:val="009B362B"/>
    <w:rsid w:val="009B5017"/>
    <w:rsid w:val="009B7E61"/>
    <w:rsid w:val="009D27A0"/>
    <w:rsid w:val="009E076B"/>
    <w:rsid w:val="009E0971"/>
    <w:rsid w:val="009E3EDD"/>
    <w:rsid w:val="009E6573"/>
    <w:rsid w:val="00A0112F"/>
    <w:rsid w:val="00A10362"/>
    <w:rsid w:val="00A11651"/>
    <w:rsid w:val="00A173FF"/>
    <w:rsid w:val="00A175AD"/>
    <w:rsid w:val="00A21BB7"/>
    <w:rsid w:val="00A257E0"/>
    <w:rsid w:val="00A40AC5"/>
    <w:rsid w:val="00A521CE"/>
    <w:rsid w:val="00A53E1C"/>
    <w:rsid w:val="00A543CC"/>
    <w:rsid w:val="00A60DDA"/>
    <w:rsid w:val="00A65B87"/>
    <w:rsid w:val="00A67197"/>
    <w:rsid w:val="00A67F62"/>
    <w:rsid w:val="00A74A4A"/>
    <w:rsid w:val="00A75BC4"/>
    <w:rsid w:val="00A8308A"/>
    <w:rsid w:val="00A941BF"/>
    <w:rsid w:val="00AA0EAF"/>
    <w:rsid w:val="00AA3297"/>
    <w:rsid w:val="00AA658D"/>
    <w:rsid w:val="00AB3C72"/>
    <w:rsid w:val="00AB551B"/>
    <w:rsid w:val="00AC29E3"/>
    <w:rsid w:val="00AD09C4"/>
    <w:rsid w:val="00AD147B"/>
    <w:rsid w:val="00AD169C"/>
    <w:rsid w:val="00AD220B"/>
    <w:rsid w:val="00AE0814"/>
    <w:rsid w:val="00AE3D9B"/>
    <w:rsid w:val="00AE5008"/>
    <w:rsid w:val="00AE523B"/>
    <w:rsid w:val="00AF0592"/>
    <w:rsid w:val="00AF0DDC"/>
    <w:rsid w:val="00AF5E75"/>
    <w:rsid w:val="00AF6102"/>
    <w:rsid w:val="00AF6FEF"/>
    <w:rsid w:val="00B02636"/>
    <w:rsid w:val="00B15F34"/>
    <w:rsid w:val="00B17503"/>
    <w:rsid w:val="00B20B55"/>
    <w:rsid w:val="00B22E4A"/>
    <w:rsid w:val="00B32344"/>
    <w:rsid w:val="00B4290D"/>
    <w:rsid w:val="00B43A0B"/>
    <w:rsid w:val="00B44C6C"/>
    <w:rsid w:val="00B473FC"/>
    <w:rsid w:val="00B52063"/>
    <w:rsid w:val="00B55EB0"/>
    <w:rsid w:val="00B61773"/>
    <w:rsid w:val="00B618DA"/>
    <w:rsid w:val="00B61D45"/>
    <w:rsid w:val="00B65885"/>
    <w:rsid w:val="00B7231F"/>
    <w:rsid w:val="00B74E68"/>
    <w:rsid w:val="00B81D36"/>
    <w:rsid w:val="00BA1010"/>
    <w:rsid w:val="00BA170C"/>
    <w:rsid w:val="00BA5F5D"/>
    <w:rsid w:val="00BB1AAB"/>
    <w:rsid w:val="00BB4883"/>
    <w:rsid w:val="00BB48A3"/>
    <w:rsid w:val="00BB5A5E"/>
    <w:rsid w:val="00BB742B"/>
    <w:rsid w:val="00BC2CAA"/>
    <w:rsid w:val="00BC2FB0"/>
    <w:rsid w:val="00BC5A6E"/>
    <w:rsid w:val="00BC7FE6"/>
    <w:rsid w:val="00BD571F"/>
    <w:rsid w:val="00BE5AA9"/>
    <w:rsid w:val="00BE687A"/>
    <w:rsid w:val="00BE7755"/>
    <w:rsid w:val="00BF13CA"/>
    <w:rsid w:val="00C012BC"/>
    <w:rsid w:val="00C05FDD"/>
    <w:rsid w:val="00C06587"/>
    <w:rsid w:val="00C077B1"/>
    <w:rsid w:val="00C1221E"/>
    <w:rsid w:val="00C2498F"/>
    <w:rsid w:val="00C27F40"/>
    <w:rsid w:val="00C330FA"/>
    <w:rsid w:val="00C362C5"/>
    <w:rsid w:val="00C3642B"/>
    <w:rsid w:val="00C37135"/>
    <w:rsid w:val="00C4147C"/>
    <w:rsid w:val="00C4458C"/>
    <w:rsid w:val="00C5232B"/>
    <w:rsid w:val="00C57B0D"/>
    <w:rsid w:val="00C7044D"/>
    <w:rsid w:val="00C76413"/>
    <w:rsid w:val="00C77853"/>
    <w:rsid w:val="00C81FCB"/>
    <w:rsid w:val="00C823A8"/>
    <w:rsid w:val="00C84094"/>
    <w:rsid w:val="00C849F9"/>
    <w:rsid w:val="00C924BC"/>
    <w:rsid w:val="00C95FEC"/>
    <w:rsid w:val="00C9639E"/>
    <w:rsid w:val="00CA3B86"/>
    <w:rsid w:val="00CB6B24"/>
    <w:rsid w:val="00CB6B79"/>
    <w:rsid w:val="00CC0881"/>
    <w:rsid w:val="00CC0D6C"/>
    <w:rsid w:val="00CC307C"/>
    <w:rsid w:val="00CC4FE5"/>
    <w:rsid w:val="00CD7F88"/>
    <w:rsid w:val="00CE43A7"/>
    <w:rsid w:val="00CF1226"/>
    <w:rsid w:val="00CF3FEB"/>
    <w:rsid w:val="00CF4663"/>
    <w:rsid w:val="00CF51FF"/>
    <w:rsid w:val="00CF5766"/>
    <w:rsid w:val="00CF6293"/>
    <w:rsid w:val="00D00BED"/>
    <w:rsid w:val="00D017A8"/>
    <w:rsid w:val="00D05312"/>
    <w:rsid w:val="00D15CEB"/>
    <w:rsid w:val="00D20677"/>
    <w:rsid w:val="00D20B82"/>
    <w:rsid w:val="00D20E78"/>
    <w:rsid w:val="00D329CF"/>
    <w:rsid w:val="00D3792A"/>
    <w:rsid w:val="00D529AC"/>
    <w:rsid w:val="00D570F0"/>
    <w:rsid w:val="00D66536"/>
    <w:rsid w:val="00D70DF7"/>
    <w:rsid w:val="00D76F08"/>
    <w:rsid w:val="00D82F3A"/>
    <w:rsid w:val="00D842E1"/>
    <w:rsid w:val="00D8630E"/>
    <w:rsid w:val="00D92E35"/>
    <w:rsid w:val="00D94275"/>
    <w:rsid w:val="00D976B2"/>
    <w:rsid w:val="00DA159E"/>
    <w:rsid w:val="00DA2A30"/>
    <w:rsid w:val="00DA3821"/>
    <w:rsid w:val="00DB1909"/>
    <w:rsid w:val="00DB4071"/>
    <w:rsid w:val="00DB49A4"/>
    <w:rsid w:val="00DB5831"/>
    <w:rsid w:val="00DC02ED"/>
    <w:rsid w:val="00DD10B4"/>
    <w:rsid w:val="00DD6F07"/>
    <w:rsid w:val="00DE4CE4"/>
    <w:rsid w:val="00DE5082"/>
    <w:rsid w:val="00DF006B"/>
    <w:rsid w:val="00DF1DA2"/>
    <w:rsid w:val="00DF3C7F"/>
    <w:rsid w:val="00DF3F42"/>
    <w:rsid w:val="00E06BB6"/>
    <w:rsid w:val="00E103DD"/>
    <w:rsid w:val="00E1633D"/>
    <w:rsid w:val="00E23047"/>
    <w:rsid w:val="00E240E8"/>
    <w:rsid w:val="00E300F6"/>
    <w:rsid w:val="00E311FF"/>
    <w:rsid w:val="00E42D54"/>
    <w:rsid w:val="00E451D8"/>
    <w:rsid w:val="00E45826"/>
    <w:rsid w:val="00E51CF4"/>
    <w:rsid w:val="00E53173"/>
    <w:rsid w:val="00E56ADC"/>
    <w:rsid w:val="00E62348"/>
    <w:rsid w:val="00E67CB5"/>
    <w:rsid w:val="00E73BA1"/>
    <w:rsid w:val="00E81AF2"/>
    <w:rsid w:val="00E9170B"/>
    <w:rsid w:val="00E9275A"/>
    <w:rsid w:val="00EA48B3"/>
    <w:rsid w:val="00EB5267"/>
    <w:rsid w:val="00EB7460"/>
    <w:rsid w:val="00EC285B"/>
    <w:rsid w:val="00EC66FD"/>
    <w:rsid w:val="00ED2731"/>
    <w:rsid w:val="00ED4B56"/>
    <w:rsid w:val="00EE27F8"/>
    <w:rsid w:val="00EE288A"/>
    <w:rsid w:val="00EE3001"/>
    <w:rsid w:val="00EE3CC6"/>
    <w:rsid w:val="00EF0B3F"/>
    <w:rsid w:val="00EF59F8"/>
    <w:rsid w:val="00F0463D"/>
    <w:rsid w:val="00F0595F"/>
    <w:rsid w:val="00F3221A"/>
    <w:rsid w:val="00F46BB4"/>
    <w:rsid w:val="00F53E12"/>
    <w:rsid w:val="00F60E85"/>
    <w:rsid w:val="00F61B78"/>
    <w:rsid w:val="00F62186"/>
    <w:rsid w:val="00F64FC0"/>
    <w:rsid w:val="00F7270D"/>
    <w:rsid w:val="00F7287C"/>
    <w:rsid w:val="00F75B0B"/>
    <w:rsid w:val="00F935DF"/>
    <w:rsid w:val="00F97511"/>
    <w:rsid w:val="00FA2611"/>
    <w:rsid w:val="00FB07A1"/>
    <w:rsid w:val="00FB1E9D"/>
    <w:rsid w:val="00FB3F68"/>
    <w:rsid w:val="00FB5B1F"/>
    <w:rsid w:val="00FB6773"/>
    <w:rsid w:val="00FC3794"/>
    <w:rsid w:val="00FC397D"/>
    <w:rsid w:val="00FC5975"/>
    <w:rsid w:val="00FF23D1"/>
    <w:rsid w:val="00FF6DE0"/>
    <w:rsid w:val="00FF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C74F"/>
  <w15:chartTrackingRefBased/>
  <w15:docId w15:val="{3CE5505D-BBD8-470A-946C-74F43356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4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764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764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64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64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4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4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4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4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4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764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764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64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64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6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413"/>
    <w:rPr>
      <w:rFonts w:eastAsiaTheme="majorEastAsia" w:cstheme="majorBidi"/>
      <w:color w:val="272727" w:themeColor="text1" w:themeTint="D8"/>
    </w:rPr>
  </w:style>
  <w:style w:type="paragraph" w:styleId="Title">
    <w:name w:val="Title"/>
    <w:basedOn w:val="Normal"/>
    <w:next w:val="Normal"/>
    <w:link w:val="TitleChar"/>
    <w:uiPriority w:val="10"/>
    <w:qFormat/>
    <w:rsid w:val="00C764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4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413"/>
    <w:pPr>
      <w:spacing w:before="160"/>
      <w:jc w:val="center"/>
    </w:pPr>
    <w:rPr>
      <w:i/>
      <w:iCs/>
      <w:color w:val="404040" w:themeColor="text1" w:themeTint="BF"/>
    </w:rPr>
  </w:style>
  <w:style w:type="character" w:customStyle="1" w:styleId="QuoteChar">
    <w:name w:val="Quote Char"/>
    <w:basedOn w:val="DefaultParagraphFont"/>
    <w:link w:val="Quote"/>
    <w:uiPriority w:val="29"/>
    <w:rsid w:val="00C76413"/>
    <w:rPr>
      <w:i/>
      <w:iCs/>
      <w:color w:val="404040" w:themeColor="text1" w:themeTint="BF"/>
    </w:rPr>
  </w:style>
  <w:style w:type="paragraph" w:styleId="ListParagraph">
    <w:name w:val="List Paragraph"/>
    <w:basedOn w:val="Normal"/>
    <w:uiPriority w:val="34"/>
    <w:qFormat/>
    <w:rsid w:val="00C76413"/>
    <w:pPr>
      <w:ind w:left="720"/>
      <w:contextualSpacing/>
    </w:pPr>
  </w:style>
  <w:style w:type="character" w:styleId="IntenseEmphasis">
    <w:name w:val="Intense Emphasis"/>
    <w:basedOn w:val="DefaultParagraphFont"/>
    <w:uiPriority w:val="21"/>
    <w:qFormat/>
    <w:rsid w:val="00C76413"/>
    <w:rPr>
      <w:i/>
      <w:iCs/>
      <w:color w:val="0F4761" w:themeColor="accent1" w:themeShade="BF"/>
    </w:rPr>
  </w:style>
  <w:style w:type="paragraph" w:styleId="IntenseQuote">
    <w:name w:val="Intense Quote"/>
    <w:basedOn w:val="Normal"/>
    <w:next w:val="Normal"/>
    <w:link w:val="IntenseQuoteChar"/>
    <w:uiPriority w:val="30"/>
    <w:qFormat/>
    <w:rsid w:val="00C764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6413"/>
    <w:rPr>
      <w:i/>
      <w:iCs/>
      <w:color w:val="0F4761" w:themeColor="accent1" w:themeShade="BF"/>
    </w:rPr>
  </w:style>
  <w:style w:type="character" w:styleId="IntenseReference">
    <w:name w:val="Intense Reference"/>
    <w:basedOn w:val="DefaultParagraphFont"/>
    <w:uiPriority w:val="32"/>
    <w:qFormat/>
    <w:rsid w:val="00C76413"/>
    <w:rPr>
      <w:b/>
      <w:bCs/>
      <w:smallCaps/>
      <w:color w:val="0F4761" w:themeColor="accent1" w:themeShade="BF"/>
      <w:spacing w:val="5"/>
    </w:rPr>
  </w:style>
  <w:style w:type="character" w:styleId="CommentReference">
    <w:name w:val="annotation reference"/>
    <w:basedOn w:val="DefaultParagraphFont"/>
    <w:uiPriority w:val="99"/>
    <w:semiHidden/>
    <w:unhideWhenUsed/>
    <w:rsid w:val="00C4147C"/>
    <w:rPr>
      <w:sz w:val="16"/>
      <w:szCs w:val="16"/>
    </w:rPr>
  </w:style>
  <w:style w:type="paragraph" w:styleId="CommentText">
    <w:name w:val="annotation text"/>
    <w:basedOn w:val="Normal"/>
    <w:link w:val="CommentTextChar"/>
    <w:uiPriority w:val="99"/>
    <w:unhideWhenUsed/>
    <w:rsid w:val="00C4147C"/>
    <w:pPr>
      <w:spacing w:after="0" w:line="240" w:lineRule="auto"/>
    </w:pPr>
    <w:rPr>
      <w:rFonts w:ascii="Aptos" w:hAnsi="Aptos" w:cs="Aptos"/>
      <w:kern w:val="0"/>
      <w:sz w:val="20"/>
      <w:szCs w:val="20"/>
      <w14:ligatures w14:val="none"/>
    </w:rPr>
  </w:style>
  <w:style w:type="character" w:customStyle="1" w:styleId="CommentTextChar">
    <w:name w:val="Comment Text Char"/>
    <w:basedOn w:val="DefaultParagraphFont"/>
    <w:link w:val="CommentText"/>
    <w:uiPriority w:val="99"/>
    <w:rsid w:val="00C4147C"/>
    <w:rPr>
      <w:rFonts w:ascii="Aptos" w:hAnsi="Aptos" w:cs="Aptos"/>
      <w:kern w:val="0"/>
      <w:sz w:val="20"/>
      <w:szCs w:val="20"/>
      <w14:ligatures w14:val="none"/>
    </w:rPr>
  </w:style>
  <w:style w:type="character" w:styleId="FootnoteReference">
    <w:name w:val="footnote reference"/>
    <w:basedOn w:val="DefaultParagraphFont"/>
    <w:uiPriority w:val="99"/>
    <w:unhideWhenUsed/>
    <w:rsid w:val="00C4147C"/>
    <w:rPr>
      <w:vertAlign w:val="superscript"/>
    </w:rPr>
  </w:style>
  <w:style w:type="paragraph" w:styleId="FootnoteText">
    <w:name w:val="footnote text"/>
    <w:basedOn w:val="Normal"/>
    <w:link w:val="FootnoteTextChar"/>
    <w:uiPriority w:val="99"/>
    <w:unhideWhenUsed/>
    <w:rsid w:val="00C4147C"/>
    <w:pPr>
      <w:spacing w:after="0" w:line="240" w:lineRule="auto"/>
    </w:pPr>
    <w:rPr>
      <w:rFonts w:ascii="Aptos" w:hAnsi="Aptos" w:cs="Aptos"/>
      <w:kern w:val="0"/>
      <w:sz w:val="20"/>
      <w:szCs w:val="20"/>
      <w14:ligatures w14:val="none"/>
    </w:rPr>
  </w:style>
  <w:style w:type="character" w:customStyle="1" w:styleId="FootnoteTextChar">
    <w:name w:val="Footnote Text Char"/>
    <w:basedOn w:val="DefaultParagraphFont"/>
    <w:link w:val="FootnoteText"/>
    <w:uiPriority w:val="99"/>
    <w:rsid w:val="00C4147C"/>
    <w:rPr>
      <w:rFonts w:ascii="Aptos" w:hAnsi="Aptos" w:cs="Apto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4147C"/>
    <w:pPr>
      <w:spacing w:after="160"/>
    </w:pPr>
    <w:rPr>
      <w:rFonts w:ascii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C4147C"/>
    <w:rPr>
      <w:rFonts w:ascii="Aptos" w:hAnsi="Aptos" w:cs="Aptos"/>
      <w:b/>
      <w:bCs/>
      <w:kern w:val="0"/>
      <w:sz w:val="20"/>
      <w:szCs w:val="20"/>
      <w14:ligatures w14:val="none"/>
    </w:rPr>
  </w:style>
  <w:style w:type="paragraph" w:customStyle="1" w:styleId="pf1">
    <w:name w:val="pf1"/>
    <w:basedOn w:val="Normal"/>
    <w:rsid w:val="000E02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f0">
    <w:name w:val="pf0"/>
    <w:basedOn w:val="Normal"/>
    <w:rsid w:val="000E02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0E02F0"/>
    <w:rPr>
      <w:rFonts w:ascii="Segoe UI" w:hAnsi="Segoe UI" w:cs="Segoe UI" w:hint="default"/>
      <w:b/>
      <w:bCs/>
      <w:sz w:val="18"/>
      <w:szCs w:val="18"/>
    </w:rPr>
  </w:style>
  <w:style w:type="character" w:customStyle="1" w:styleId="cf11">
    <w:name w:val="cf11"/>
    <w:basedOn w:val="DefaultParagraphFont"/>
    <w:rsid w:val="000E02F0"/>
    <w:rPr>
      <w:rFonts w:ascii="Segoe UI" w:hAnsi="Segoe UI" w:cs="Segoe UI" w:hint="default"/>
      <w:sz w:val="18"/>
      <w:szCs w:val="18"/>
    </w:rPr>
  </w:style>
  <w:style w:type="paragraph" w:styleId="NoSpacing">
    <w:name w:val="No Spacing"/>
    <w:uiPriority w:val="1"/>
    <w:qFormat/>
    <w:rsid w:val="006A0BB2"/>
    <w:pPr>
      <w:spacing w:after="0" w:line="240" w:lineRule="auto"/>
    </w:pPr>
  </w:style>
  <w:style w:type="character" w:styleId="Hyperlink">
    <w:name w:val="Hyperlink"/>
    <w:basedOn w:val="DefaultParagraphFont"/>
    <w:uiPriority w:val="99"/>
    <w:unhideWhenUsed/>
    <w:rsid w:val="00D20B82"/>
    <w:rPr>
      <w:color w:val="0000FF"/>
      <w:u w:val="single"/>
    </w:rPr>
  </w:style>
  <w:style w:type="character" w:styleId="FollowedHyperlink">
    <w:name w:val="FollowedHyperlink"/>
    <w:basedOn w:val="DefaultParagraphFont"/>
    <w:uiPriority w:val="99"/>
    <w:semiHidden/>
    <w:unhideWhenUsed/>
    <w:rsid w:val="00D20B82"/>
    <w:rPr>
      <w:color w:val="96607D" w:themeColor="followedHyperlink"/>
      <w:u w:val="single"/>
    </w:rPr>
  </w:style>
  <w:style w:type="character" w:styleId="UnresolvedMention">
    <w:name w:val="Unresolved Mention"/>
    <w:basedOn w:val="DefaultParagraphFont"/>
    <w:uiPriority w:val="99"/>
    <w:semiHidden/>
    <w:unhideWhenUsed/>
    <w:rsid w:val="003115C0"/>
    <w:rPr>
      <w:color w:val="605E5C"/>
      <w:shd w:val="clear" w:color="auto" w:fill="E1DFDD"/>
    </w:rPr>
  </w:style>
  <w:style w:type="paragraph" w:styleId="Header">
    <w:name w:val="header"/>
    <w:basedOn w:val="Normal"/>
    <w:link w:val="HeaderChar"/>
    <w:uiPriority w:val="99"/>
    <w:unhideWhenUsed/>
    <w:rsid w:val="009E3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EDD"/>
  </w:style>
  <w:style w:type="paragraph" w:styleId="Footer">
    <w:name w:val="footer"/>
    <w:basedOn w:val="Normal"/>
    <w:link w:val="FooterChar"/>
    <w:uiPriority w:val="99"/>
    <w:unhideWhenUsed/>
    <w:rsid w:val="009E3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99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aup.org/file/1940%20Statement.pdf" TargetMode="External"/><Relationship Id="rId2" Type="http://schemas.openxmlformats.org/officeDocument/2006/relationships/hyperlink" Target="https://uofi.app.box.com/file/1667829474924" TargetMode="External"/><Relationship Id="rId1" Type="http://schemas.openxmlformats.org/officeDocument/2006/relationships/hyperlink" Target="https://www.aaup.org/file/1940%20Statement.pdf" TargetMode="External"/><Relationship Id="rId4" Type="http://schemas.openxmlformats.org/officeDocument/2006/relationships/hyperlink" Target="https://uofi.app.box.com/file/16678294749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2989A-8875-4E05-9593-12F8CE7E1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2466</Words>
  <Characters>14060</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Hemrich, Veronica</dc:creator>
  <cp:keywords/>
  <dc:description/>
  <cp:lastModifiedBy>Miller, Franci</cp:lastModifiedBy>
  <cp:revision>2</cp:revision>
  <cp:lastPrinted>2024-10-14T16:11:00Z</cp:lastPrinted>
  <dcterms:created xsi:type="dcterms:W3CDTF">2024-10-14T16:12:00Z</dcterms:created>
  <dcterms:modified xsi:type="dcterms:W3CDTF">2024-10-14T16:12:00Z</dcterms:modified>
</cp:coreProperties>
</file>